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8CAC1" w14:textId="103C9F0A" w:rsidR="00E32A3A" w:rsidRPr="00942197" w:rsidRDefault="00E32A3A" w:rsidP="00E32A3A">
      <w:pPr>
        <w:pStyle w:val="Heading2"/>
        <w:rPr>
          <w:rFonts w:ascii="Arial" w:hAnsi="Arial" w:cs="Arial"/>
          <w:color w:val="auto"/>
          <w:sz w:val="24"/>
          <w:szCs w:val="24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794"/>
        <w:gridCol w:w="4680"/>
        <w:gridCol w:w="2070"/>
      </w:tblGrid>
      <w:tr w:rsidR="00E32A3A" w:rsidRPr="00942197" w14:paraId="0C1D1E60" w14:textId="77777777" w:rsidTr="00184A0D">
        <w:tc>
          <w:tcPr>
            <w:tcW w:w="3856" w:type="dxa"/>
            <w:tcBorders>
              <w:right w:val="single" w:sz="4" w:space="0" w:color="FFFFFF"/>
            </w:tcBorders>
            <w:shd w:val="clear" w:color="auto" w:fill="000000"/>
          </w:tcPr>
          <w:p w14:paraId="57D742DA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bookmarkStart w:id="0" w:name="_Hlk10712534"/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Opšti cilj</w:t>
            </w:r>
          </w:p>
        </w:tc>
        <w:tc>
          <w:tcPr>
            <w:tcW w:w="379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782C7EE2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left w:val="single" w:sz="4" w:space="0" w:color="FFFFFF"/>
            </w:tcBorders>
            <w:shd w:val="clear" w:color="auto" w:fill="000000"/>
          </w:tcPr>
          <w:p w14:paraId="5E0C8E33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22B81C29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716A3E83" w14:textId="77777777" w:rsidTr="00184A0D">
        <w:tc>
          <w:tcPr>
            <w:tcW w:w="3856" w:type="dxa"/>
            <w:shd w:val="clear" w:color="auto" w:fill="auto"/>
          </w:tcPr>
          <w:p w14:paraId="5422F54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Poboljšati kvalitet pružanja osnovnog i srednjeg obrazovanja i podržati inicijalno obrazovanje nastavnika,  KPR, kao i osguranje kvaliteta na nivou osnovnog, srednjeg i visokog obrazovanja.</w:t>
            </w:r>
          </w:p>
        </w:tc>
        <w:tc>
          <w:tcPr>
            <w:tcW w:w="3794" w:type="dxa"/>
            <w:shd w:val="clear" w:color="auto" w:fill="auto"/>
          </w:tcPr>
          <w:p w14:paraId="5C29A68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Obrazovna postignuća (ishodi) u MINT-u porasla su u roku od 4 godine</w:t>
            </w:r>
          </w:p>
        </w:tc>
        <w:tc>
          <w:tcPr>
            <w:tcW w:w="4680" w:type="dxa"/>
            <w:shd w:val="clear" w:color="auto" w:fill="auto"/>
          </w:tcPr>
          <w:p w14:paraId="44E63FD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TIMMS (2023)</w:t>
            </w:r>
          </w:p>
          <w:p w14:paraId="502B064C" w14:textId="63B403B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PISA (202</w:t>
            </w:r>
            <w:ins w:id="1" w:author="Boris Curkovic" w:date="2020-04-28T11:33:00Z">
              <w:r w:rsidR="00C93F5C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1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)</w:t>
            </w:r>
          </w:p>
          <w:p w14:paraId="1D9D757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države</w:t>
            </w:r>
          </w:p>
        </w:tc>
        <w:tc>
          <w:tcPr>
            <w:tcW w:w="2070" w:type="dxa"/>
            <w:vMerge/>
            <w:tcBorders>
              <w:right w:val="nil"/>
            </w:tcBorders>
            <w:shd w:val="clear" w:color="auto" w:fill="auto"/>
          </w:tcPr>
          <w:p w14:paraId="3CB11B1F" w14:textId="77777777" w:rsidR="00E32A3A" w:rsidRPr="00942197" w:rsidRDefault="00E32A3A" w:rsidP="00184A0D">
            <w:pPr>
              <w:spacing w:line="240" w:lineRule="auto"/>
              <w:ind w:left="57"/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14F9EF1" w14:textId="77777777" w:rsidTr="00184A0D">
        <w:tc>
          <w:tcPr>
            <w:tcW w:w="3856" w:type="dxa"/>
            <w:tcBorders>
              <w:right w:val="single" w:sz="4" w:space="0" w:color="FFFFFF"/>
            </w:tcBorders>
            <w:shd w:val="clear" w:color="auto" w:fill="000000"/>
          </w:tcPr>
          <w:p w14:paraId="13ED2805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>Svrha projekta</w:t>
            </w:r>
          </w:p>
        </w:tc>
        <w:tc>
          <w:tcPr>
            <w:tcW w:w="379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0C25082F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03B7A7AE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tcBorders>
              <w:left w:val="single" w:sz="4" w:space="0" w:color="FFFFFF"/>
            </w:tcBorders>
            <w:shd w:val="clear" w:color="auto" w:fill="000000"/>
          </w:tcPr>
          <w:p w14:paraId="37A85EF5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7AF9478E" w14:textId="77777777" w:rsidTr="00184A0D">
        <w:tc>
          <w:tcPr>
            <w:tcW w:w="3856" w:type="dxa"/>
            <w:shd w:val="clear" w:color="auto" w:fill="auto"/>
          </w:tcPr>
          <w:p w14:paraId="7691576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Poboljšati dostignuća učenika u vezi sa ključnim kompetencijama za cjeloživotno učenje i kvalitetom rada i nastave osnovnog i srednjeg obrazovanja;</w:t>
            </w:r>
          </w:p>
          <w:p w14:paraId="40D2A15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Unapređenje sistema osiguranja kvaliteta na svim nivoima;</w:t>
            </w:r>
          </w:p>
          <w:p w14:paraId="6B849D4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Razviti obrazovanje i profesionalne kompetencije nastavnika kako u inicijalnom obrazovanju nastavnika tako i u kontinuiranom profesionalnom razvoju u pogledu integracije ključnih kompetencija u učenju sa posebnim fokusom na MINT discipline.</w:t>
            </w:r>
          </w:p>
        </w:tc>
        <w:tc>
          <w:tcPr>
            <w:tcW w:w="3794" w:type="dxa"/>
            <w:shd w:val="clear" w:color="auto" w:fill="auto"/>
          </w:tcPr>
          <w:p w14:paraId="5992DE1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80% osnovnih i srednjih škola integriše MINT i druge ključne kompetencije</w:t>
            </w:r>
          </w:p>
          <w:p w14:paraId="725E4FB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Novi standardi i procedure za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interno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eksterno osiguranje kvaliteta  za osnovno, srednje i visoko obrazovanje sadrže indikatore o ključnim kompetencijama koje su odobreni i u redovnoj upotrebi</w:t>
            </w:r>
          </w:p>
          <w:p w14:paraId="2726523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Studijski programi za inicijalno obrazovanje nastavnika na UCG koji sadrže modernu pedagogiju, MINT i druge ključne kompetencije, odobreni i redovno se predaju studentima</w:t>
            </w:r>
          </w:p>
          <w:p w14:paraId="042CDD5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80% nastavnika u osnovnim i srednjim školama je obučeno i redovno koristi MINT i ključne kompetencije u nastavi</w:t>
            </w:r>
          </w:p>
        </w:tc>
        <w:tc>
          <w:tcPr>
            <w:tcW w:w="4680" w:type="dxa"/>
            <w:shd w:val="clear" w:color="auto" w:fill="auto"/>
          </w:tcPr>
          <w:p w14:paraId="48338EB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države</w:t>
            </w:r>
          </w:p>
          <w:p w14:paraId="7CF7135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Ministarstva prosvjete</w:t>
            </w:r>
          </w:p>
          <w:p w14:paraId="2DACE88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Eksterni izvještaji o osiguranju kvaliteta na svim nivoima obrazovanja</w:t>
            </w:r>
          </w:p>
          <w:p w14:paraId="5D61AF0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Zavoda za školstvo</w:t>
            </w:r>
          </w:p>
          <w:p w14:paraId="07838E0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Odluke Senat UCG o odobravanju novih studijskih programa za inicilano obrazovanje nastavnika</w:t>
            </w:r>
          </w:p>
          <w:p w14:paraId="5CECAC7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sa treninga</w:t>
            </w:r>
          </w:p>
          <w:p w14:paraId="7EA1FA3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Školski izvještaji (razvojni planovi, godišnji planovi, pedagoška dokumentacija)</w:t>
            </w:r>
          </w:p>
          <w:p w14:paraId="270A1DA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o napretku projekta</w:t>
            </w:r>
          </w:p>
        </w:tc>
        <w:tc>
          <w:tcPr>
            <w:tcW w:w="2070" w:type="dxa"/>
            <w:shd w:val="clear" w:color="auto" w:fill="auto"/>
          </w:tcPr>
          <w:p w14:paraId="4A1F5BC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Strateški i pravni okviri za različite nivoe obrazovanja postoje</w:t>
            </w:r>
          </w:p>
          <w:p w14:paraId="3010437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Potrebe za pristupom ishoda u učenju i podučavanju i postavljanju standarda dostignuća i ispitivanja široko su prihvaćene od strane zainteresovanih strana</w:t>
            </w:r>
          </w:p>
        </w:tc>
      </w:tr>
    </w:tbl>
    <w:p w14:paraId="483B012E" w14:textId="77777777" w:rsidR="00E32A3A" w:rsidRPr="00942197" w:rsidRDefault="00E32A3A" w:rsidP="00E32A3A">
      <w:pPr>
        <w:spacing w:after="0" w:line="240" w:lineRule="auto"/>
        <w:rPr>
          <w:rFonts w:ascii="Arial" w:hAnsi="Arial" w:cs="Arial"/>
          <w:sz w:val="2"/>
          <w:szCs w:val="2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794"/>
        <w:gridCol w:w="4680"/>
        <w:gridCol w:w="2070"/>
      </w:tblGrid>
      <w:tr w:rsidR="00E32A3A" w:rsidRPr="00942197" w14:paraId="37454700" w14:textId="77777777" w:rsidTr="00184A0D">
        <w:trPr>
          <w:tblHeader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AA91F73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  <w:t>Rezultati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5283B2B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372C9E5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5B837E5" w14:textId="77777777" w:rsidR="00E32A3A" w:rsidRPr="00942197" w:rsidRDefault="00E32A3A" w:rsidP="00184A0D">
            <w:pPr>
              <w:spacing w:after="0"/>
              <w:ind w:left="317" w:hanging="284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5D68CE12" w14:textId="77777777" w:rsidTr="00184A0D">
        <w:trPr>
          <w:trHeight w:val="1228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99BF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Razvijen nacionalni okvir za ključne kompetencije u kurikulumu, sa dodatnim fokusom na MINT, mobilizovanu posvećenost i standarde utvrđene za MINT;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30E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Izrađen i odobren nacionalni okvir nadležnosti za ključne kompetencije;</w:t>
            </w:r>
          </w:p>
          <w:p w14:paraId="42457D0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Planovi implementacije i nadgledanja MINT-a zajedno sa standardima i ciljevima za MINT proizvedeni (npr. u pogledu nastavničkih kompetencija, nastavnih materijala, programa, opreme).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CD8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04AEB46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Crnogorski okvir ključnih kompetencija u nastavi </w:t>
            </w:r>
          </w:p>
          <w:p w14:paraId="3D4B666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Mapa puta za intergraciju ključnih kompetencija MINT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348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Kompetentni stručnjaci su angažovani / regrutovani kao davaoci usluga</w:t>
            </w:r>
          </w:p>
          <w:p w14:paraId="6334032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Obrazovni fakulteti prihvataju potrebu za reformom programa predškolskog obrazovanja za nastavnike osnovnih i srednjih škola</w:t>
            </w:r>
          </w:p>
        </w:tc>
      </w:tr>
      <w:tr w:rsidR="00E32A3A" w:rsidRPr="00942197" w14:paraId="40E9A53B" w14:textId="77777777" w:rsidTr="00184A0D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7483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Uspostavljen održivi proces za analizu inputa, rezultata i efikasnosti MINT obrazovanja;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959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Nacionalna istraživanja: Izrađena analiza obrazovnih dostignuća (ishoda) u MINT-u na osnovu podataka TIMMS-a, PISA-e i Crne Gore;</w:t>
            </w:r>
          </w:p>
          <w:p w14:paraId="6D98819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Izvršen pregled nastavnog plana i programa iz nauke, matematike, inženjerstva i tehnologije za osnovne i srednje škole, uključujući resurse i nastavne metode i kompetencije radne snage;</w:t>
            </w:r>
          </w:p>
          <w:p w14:paraId="0EAFC09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Izrađen pregled KPR-a i inicijalnog obrazovanja nastavnika u MINT-u;</w:t>
            </w:r>
          </w:p>
          <w:p w14:paraId="077B3E5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Uspostavljen proces za redovno ocjenjivanje procesa i rezultata u MINT-u, internim i eksternim inspekcijama, međunarodnom i nacionalnom procjenom.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43E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6420ECE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Četiri kataloga sa predmetima za ocjenjivanje, u skladu sa MINT i drugim ključnim kompetencijama, za matematiku, fiziku, biologiju i hemiju</w:t>
            </w:r>
          </w:p>
          <w:p w14:paraId="5E2C462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Studija o nacionalnom testiranju za II i III ciklus osnovnog obrazovanja za matematiku, fiziku, biologiju, hemiju</w:t>
            </w:r>
          </w:p>
          <w:p w14:paraId="638C653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analizama obrazovnih dostignuća za II i III ciklus osnovnog obrazovanja u disciplinama MINT</w:t>
            </w:r>
          </w:p>
          <w:p w14:paraId="1C14C6E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trenutnom stanju korišćenja međupredmetnog pristupa i ključnih kompetencija u crnogorskom obrazovnom sistemu</w:t>
            </w:r>
          </w:p>
          <w:p w14:paraId="641F5B6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pregledu KPR-a i inicijalnom obrazovanju nastavnika u MINT-u</w:t>
            </w:r>
          </w:p>
          <w:p w14:paraId="2202E6F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Izvještaj o pregledu nastavnog i srednjoškolskog programa iz nauke, matematike, inženjerstva i tehnologije sa fokusom na obrazovne programe za matematiku, fiziku, biologiju, hemiju i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informatiku (sa tehnikom), resurse i nastavne metode i kompetencije radne snage</w:t>
            </w:r>
          </w:p>
          <w:p w14:paraId="6464974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Tri skupa standarda osguranja kvaliteta za MINT</w:t>
            </w:r>
          </w:p>
          <w:p w14:paraId="020C8C6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Nova dokumenta vezana za osguranje kvaliteta procesa u osnovnom i srednjem obrazovanju</w:t>
            </w:r>
          </w:p>
          <w:p w14:paraId="3673572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Nova dokumenta vezana za osiguranje kvaliteta procesa u visokom obrazovanju</w:t>
            </w:r>
          </w:p>
          <w:p w14:paraId="01E3908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10 samovrednovanja i 10 eksternih evaluacija o osguranju kvaliteta iz osnovnog i srednjeg obrazovanja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19E2" w14:textId="77777777" w:rsidR="00E32A3A" w:rsidRPr="00942197" w:rsidRDefault="00E32A3A" w:rsidP="00184A0D">
            <w:pPr>
              <w:spacing w:after="0" w:line="240" w:lineRule="auto"/>
              <w:ind w:left="317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47251408" w14:textId="77777777" w:rsidTr="00184A0D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A6C4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Sistematsko sprovođenje plana implementacije MINT-a, što dovodi do poboljšanja inputa, procesa i rezultata MINT-a.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A15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Obrazovni programi za matematiku, fiziku, biologiju, hemiju i informatiku (s tehnikom) za osnovne i srednje škole koji su revidirani i odobreni u svijetlu nacionalnih i međunarodnih standarda;</w:t>
            </w:r>
          </w:p>
          <w:p w14:paraId="63F0754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Studijski programi visokog obrazovanja za inicijalno obrazovanje nastavnika iz matematiku (i za studijske programe iniciljanog obrazovanja nastavnika za druge predmete u okviru MINT-a ako gore navedeni pregledi ukažu na takvu potrebu) potvrđeni i / ili revidirani;</w:t>
            </w:r>
          </w:p>
          <w:p w14:paraId="1ACFE32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Dizajnirani moduli za KPR za obuku u MINT-u i obuku predavača za podučavanje modula;</w:t>
            </w:r>
          </w:p>
          <w:p w14:paraId="34496DF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Obučeno 960 nastavnika MINT-a (od 1200 nastavnika MINT-a koji su držali nastavu iz MINT-a u osnovnom i srednjem obrazovanju u školskoj 2017/2018. godini, 80%);</w:t>
            </w:r>
          </w:p>
          <w:p w14:paraId="000D463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900 nastavnika osnovnih škola nivoa ISCED 1 obučenih za ključne kompetencije;</w:t>
            </w:r>
          </w:p>
          <w:p w14:paraId="184ACA5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Obučeni službenici za osiguranje kvaliteta Zavoda za školstvo za MINT u svrhu pružanja podrške evaluaciji, praćenju i primjeni plana implementacije MINT-a u školama;</w:t>
            </w:r>
          </w:p>
          <w:p w14:paraId="08419E8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Direktori škola i nastavnici osnovnih i srednjih škola obučeni da podrže implementaciju MINT plana osnovnog i srednjeg obrazovanja i sprovedu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internu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evaluaciju;</w:t>
            </w:r>
          </w:p>
          <w:p w14:paraId="586BCBF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Akademsko osoblje Filozofskog, Filološkog i Prirodno-matematičkog fakulteta osposobljeno je za implementaciju i kvalitativno obezbeđivanje novih visokoškolskih programa za inicilano obrazovanje nastavnika (uključujući nove pedagogije, tehnologije i načine učenja).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EDD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65BC0A7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Razvijene sveobuhvatne smjernice za rukovodioce škola, nastavnike razreda nivoa 1 ISCED-a i predmetnih nastavnika na nivoima 2 i 3 ISCED-a</w:t>
            </w:r>
          </w:p>
          <w:p w14:paraId="79EA897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Revidirana metodološka uputstva za kreatore kurikuluma i preporuke za integrisanje ključnih kompetencija u nastavne planove i programe na nivoima 1, 2 i 3 ISCED-a</w:t>
            </w:r>
          </w:p>
          <w:p w14:paraId="35A96FD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Metodološka uputstva i smjernice za kriterijume ocjenjivanja i njihovo povezivanje sa ishodima obrazovanja formativnim ocjenjivanjem</w:t>
            </w:r>
          </w:p>
          <w:p w14:paraId="4033F5C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Revidiran studijski program za matematiku</w:t>
            </w:r>
          </w:p>
          <w:p w14:paraId="2467A98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Preporuke i iskustva iz studijskog programa matematike podijeljeni sa drugim studijskim programima Prirodno-matematičkog fakulteta kao i programima Filozofskog i Filološkog fakulteta, a obuka je razvijena i dostavljena akademskom osoblju</w:t>
            </w:r>
          </w:p>
          <w:p w14:paraId="37DEA32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Preporuke za integrisanje ključnih kompetencija na sve studijske programe na Univerzitetu Crne Gore, prema crnogorskom okviru  ključnih kompetencija</w:t>
            </w:r>
          </w:p>
          <w:p w14:paraId="7325576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nastavnike osnovnih i srednjih škola MINT-a za podučavanje MINT-a i drugih ključnih kompetencija</w:t>
            </w:r>
          </w:p>
          <w:p w14:paraId="7A979EA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nastavnike u učionicama (ISCED 1) za podučavanje MINT-a i drugih ključnih kompetencija</w:t>
            </w:r>
          </w:p>
          <w:p w14:paraId="25AF47F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školsko upravljanje za podršku MINT-u i drugim ključnim kompetencijama</w:t>
            </w:r>
          </w:p>
          <w:p w14:paraId="50687E9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kreatore programa za podršku MINT-u i drugim ključnim kompetencijama u razvoju kurikuluma</w:t>
            </w:r>
          </w:p>
          <w:p w14:paraId="53CE032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za obuku trenera</w:t>
            </w:r>
          </w:p>
          <w:p w14:paraId="215B0EB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Onlajn platforma za razmjenu dobre prakse</w:t>
            </w:r>
          </w:p>
          <w:p w14:paraId="3D5124E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akademsko osoblje na UCG</w:t>
            </w:r>
          </w:p>
          <w:p w14:paraId="6D018D4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timove zadužene za osguranje kvaliteta na visokoškolskim ustanovama</w:t>
            </w:r>
          </w:p>
          <w:p w14:paraId="6F94E08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sa obuka</w:t>
            </w:r>
          </w:p>
          <w:p w14:paraId="3D77C82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izgradnji kapaciteta</w:t>
            </w:r>
          </w:p>
          <w:p w14:paraId="37468A4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sa studijskog putovanja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FD1D" w14:textId="77777777" w:rsidR="00E32A3A" w:rsidRPr="00942197" w:rsidRDefault="00E32A3A" w:rsidP="00184A0D">
            <w:pPr>
              <w:spacing w:after="0" w:line="240" w:lineRule="auto"/>
              <w:ind w:left="317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bookmarkEnd w:id="0"/>
    </w:tbl>
    <w:p w14:paraId="747E5038" w14:textId="77777777" w:rsidR="00E32A3A" w:rsidRPr="00942197" w:rsidRDefault="00E32A3A" w:rsidP="00E32A3A">
      <w:pPr>
        <w:spacing w:after="0"/>
        <w:rPr>
          <w:rFonts w:ascii="Arial" w:hAnsi="Arial" w:cs="Arial"/>
          <w:sz w:val="2"/>
          <w:szCs w:val="2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250"/>
        <w:gridCol w:w="2430"/>
        <w:gridCol w:w="2070"/>
      </w:tblGrid>
      <w:tr w:rsidR="00E32A3A" w:rsidRPr="00942197" w14:paraId="62EB75AF" w14:textId="77777777" w:rsidTr="00184A0D">
        <w:trPr>
          <w:trHeight w:val="168"/>
          <w:tblHeader/>
        </w:trPr>
        <w:tc>
          <w:tcPr>
            <w:tcW w:w="7650" w:type="dxa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2CD861F7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Aktivnosti</w:t>
            </w:r>
          </w:p>
        </w:tc>
        <w:tc>
          <w:tcPr>
            <w:tcW w:w="22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14:paraId="043310AF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(inputi)</w:t>
            </w:r>
          </w:p>
        </w:tc>
        <w:tc>
          <w:tcPr>
            <w:tcW w:w="243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14:paraId="3613B5C8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Specifikacija troškova</w:t>
            </w:r>
          </w:p>
        </w:tc>
        <w:tc>
          <w:tcPr>
            <w:tcW w:w="2070" w:type="dxa"/>
            <w:tcBorders>
              <w:left w:val="single" w:sz="4" w:space="0" w:color="FFFFFF"/>
            </w:tcBorders>
            <w:shd w:val="clear" w:color="auto" w:fill="000000"/>
          </w:tcPr>
          <w:p w14:paraId="2D3199F1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6894DF44" w14:textId="77777777" w:rsidTr="00184A0D">
        <w:tc>
          <w:tcPr>
            <w:tcW w:w="7650" w:type="dxa"/>
            <w:shd w:val="clear" w:color="auto" w:fill="auto"/>
          </w:tcPr>
          <w:p w14:paraId="7E0EB12F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Početna faza</w:t>
            </w:r>
          </w:p>
          <w:p w14:paraId="14B0468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Početni sastanak sa ugovornim tijelom</w:t>
            </w:r>
          </w:p>
          <w:p w14:paraId="498E2C44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Uspostavljanje projektne kancelarije</w:t>
            </w:r>
          </w:p>
          <w:p w14:paraId="6E44FF4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Orijentacioni sastanci sa korisnicima i analiza pozadinskih dokumenata</w:t>
            </w:r>
          </w:p>
          <w:p w14:paraId="680200B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Uspostavljanje grupe za koordinaciju projekta i početak procesa uspostavljanja upravnog odbora projekta</w:t>
            </w:r>
          </w:p>
          <w:p w14:paraId="2FE22FB1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Razvijanje plana rada</w:t>
            </w:r>
          </w:p>
          <w:p w14:paraId="134C7085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Nacrt i predaja Izvještaja o početnoj fazi </w:t>
            </w:r>
          </w:p>
        </w:tc>
        <w:tc>
          <w:tcPr>
            <w:tcW w:w="2250" w:type="dxa"/>
            <w:vMerge w:val="restart"/>
            <w:shd w:val="clear" w:color="auto" w:fill="auto"/>
          </w:tcPr>
          <w:p w14:paraId="7685624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KS 1:  240 radnih dana</w:t>
            </w:r>
          </w:p>
          <w:p w14:paraId="76180DF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KS 2:  200 radnih dana</w:t>
            </w:r>
          </w:p>
          <w:p w14:paraId="13DCA45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KS 3:  150 radnih dana</w:t>
            </w:r>
          </w:p>
          <w:p w14:paraId="129A18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KrS:  250 radnih dana</w:t>
            </w:r>
          </w:p>
          <w:p w14:paraId="3CBD8B4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KrS:  250 radnih dana</w:t>
            </w:r>
          </w:p>
          <w:p w14:paraId="4E944BA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Pomoćno osoblje – puno radno vrijeme</w:t>
            </w:r>
          </w:p>
          <w:p w14:paraId="2A2715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Korisnici – po potrebi</w:t>
            </w:r>
          </w:p>
          <w:p w14:paraId="3883805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Ugovorno tijelo – po potrebi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27DEBBD5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lastRenderedPageBreak/>
              <w:t>Maksimalan raspoloživi budžet</w:t>
            </w:r>
          </w:p>
          <w:p w14:paraId="26D89F64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lastRenderedPageBreak/>
              <w:t xml:space="preserve">€ 939.779,70 </w:t>
            </w:r>
          </w:p>
          <w:p w14:paraId="5F677DF7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t>uključujući:</w:t>
            </w:r>
          </w:p>
          <w:p w14:paraId="2058673E" w14:textId="77777777" w:rsidR="00E32A3A" w:rsidRPr="00942197" w:rsidRDefault="00E32A3A" w:rsidP="00E32A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contextualSpacing/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>€ 251.764,70  – incidentalni troškovi</w:t>
            </w:r>
          </w:p>
          <w:p w14:paraId="7A7D6852" w14:textId="77777777" w:rsidR="00E32A3A" w:rsidRPr="00942197" w:rsidRDefault="00E32A3A" w:rsidP="00E32A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>€ 10.115 – verifikacija troškova</w:t>
            </w:r>
          </w:p>
        </w:tc>
        <w:tc>
          <w:tcPr>
            <w:tcW w:w="2070" w:type="dxa"/>
            <w:vMerge w:val="restart"/>
            <w:shd w:val="clear" w:color="auto" w:fill="auto"/>
          </w:tcPr>
          <w:p w14:paraId="381817D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 xml:space="preserve">-Ministarstvo prosvjete i obrazovne institucije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imaju dobru saradnju u realizaciji projekata</w:t>
            </w:r>
          </w:p>
          <w:p w14:paraId="0F5744F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Ključne zainteresovane strane mogu se uposliti u radnoj grupi za razvoj i primjenu strategija i planova</w:t>
            </w:r>
          </w:p>
          <w:p w14:paraId="21FC56A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Lekcije naučene iz prethodnih međusobno povezanih projekata</w:t>
            </w:r>
          </w:p>
        </w:tc>
      </w:tr>
      <w:tr w:rsidR="00E32A3A" w:rsidRPr="00942197" w14:paraId="0C7D06D1" w14:textId="77777777" w:rsidTr="00184A0D">
        <w:tc>
          <w:tcPr>
            <w:tcW w:w="7650" w:type="dxa"/>
            <w:shd w:val="clear" w:color="auto" w:fill="auto"/>
          </w:tcPr>
          <w:p w14:paraId="3246200D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lastRenderedPageBreak/>
              <w:t>Komponenta 1:</w:t>
            </w: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 xml:space="preserve"> </w:t>
            </w:r>
            <w:r w:rsidRPr="00942197">
              <w:rPr>
                <w:rFonts w:ascii="Arial" w:hAnsi="Arial" w:cs="Arial"/>
                <w:b/>
                <w:bCs/>
                <w:spacing w:val="-8"/>
                <w:sz w:val="16"/>
                <w:szCs w:val="16"/>
                <w:lang w:val="sr-Latn-ME"/>
              </w:rPr>
              <w:t>Razvoj ključnih politika i okvirnih dokumenata</w:t>
            </w: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 xml:space="preserve"> </w:t>
            </w:r>
          </w:p>
          <w:p w14:paraId="47485F39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nacionalnog okvirnog programa ključnih kompetencija (sveobuhvatni okvirni dokument);</w:t>
            </w:r>
          </w:p>
          <w:p w14:paraId="3E79F901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planova za implementaciju i praćenje za MINT (matematika, inženjerstvo, nauka i tehnologija, eng. STEM (Science, technology, engineering, and mathematics)) sa vremenskim rokovima i dodijeljenim odgovornostima i funkcijama ključnim akterima, na osnovu razvijenog nacionalnog okvirnog programa ključnih kompetencija;</w:t>
            </w:r>
          </w:p>
          <w:p w14:paraId="68527965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  <w:tab w:val="num" w:pos="458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standarda osiguranja kvaliteta za MINT, u pogledu inputa, procesa i rezultata koji se mogu integrisati u nacionalne procese osiguranja kvaliteta;</w:t>
            </w:r>
          </w:p>
        </w:tc>
        <w:tc>
          <w:tcPr>
            <w:tcW w:w="2250" w:type="dxa"/>
            <w:vMerge/>
            <w:shd w:val="clear" w:color="auto" w:fill="auto"/>
          </w:tcPr>
          <w:p w14:paraId="3F08165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344D2095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0DE7B0F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6D70D15A" w14:textId="77777777" w:rsidTr="00184A0D">
        <w:tc>
          <w:tcPr>
            <w:tcW w:w="7650" w:type="dxa"/>
            <w:shd w:val="clear" w:color="auto" w:fill="auto"/>
          </w:tcPr>
          <w:p w14:paraId="337B48E8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Komponenta 2: Razvoj nastavnog plana - Razvoj i pregled obrazovnih programa, smjernica i kriterijuma za ocjenjivanje</w:t>
            </w:r>
          </w:p>
          <w:p w14:paraId="1BA8C2FA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Revizija nastavnog plana u osnovnim i srednjim školama iz nauke, matematike, inženjerstva i tehnologije, kao i resursa i nastavnih metoda i kompetencija;</w:t>
            </w:r>
          </w:p>
          <w:p w14:paraId="344CAA5E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Revizija KPR-a i inicijalnog obrazovanja nastavnika u MINT-u sa stanovišta ključnih kompetencija;</w:t>
            </w:r>
          </w:p>
          <w:p w14:paraId="7C309ECD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smjernica za nastavnike koji predaju MINT;</w:t>
            </w:r>
          </w:p>
          <w:p w14:paraId="704929B0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metodoloških uputstava i smjernica za kriterijume ocjenjivanja i njihovo povezivanje sa ishodima obrazovanja formativnim ocjenjivanjem;</w:t>
            </w:r>
          </w:p>
          <w:p w14:paraId="41D131A9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Pilot revizija studijskog programa matematike u pogledu pedagogije i psihologije, didaktičkih i metodoloških aspekata i sadržaja, sa fokusom na inovativnu pedagošku pedagogiju i MINT kompetencije;</w:t>
            </w:r>
          </w:p>
        </w:tc>
        <w:tc>
          <w:tcPr>
            <w:tcW w:w="2250" w:type="dxa"/>
            <w:vMerge/>
            <w:shd w:val="clear" w:color="auto" w:fill="auto"/>
          </w:tcPr>
          <w:p w14:paraId="116AE97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4D8ABE70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5EB8AA7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5C7464A" w14:textId="77777777" w:rsidTr="00184A0D">
        <w:tc>
          <w:tcPr>
            <w:tcW w:w="7650" w:type="dxa"/>
            <w:shd w:val="clear" w:color="auto" w:fill="FFFFFF"/>
          </w:tcPr>
          <w:p w14:paraId="1C1C4B08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 xml:space="preserve">Komponenta 3: Obuka nastavnika (uvodne usluge i KPR) za ispostavljanje ključnih kompetencija i MINT-a </w:t>
            </w:r>
          </w:p>
          <w:p w14:paraId="04772396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programa obuke nastavnika o ključnim kompetencijama na osnovu novog strateškog okvira ključnih kompetencija, sa posebnim fokusom na MINT;</w:t>
            </w:r>
          </w:p>
          <w:p w14:paraId="699CF560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Izvođenje programa obuke nastavnika o ključnim kompetencijama za 960 nastavnika MINT-a (32 dvodnevna seminara);</w:t>
            </w:r>
          </w:p>
          <w:p w14:paraId="457E5371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Obuka nastavnika za 900 nastavnika osnovnih škola na prvom novou Međunarodne standardne klasifikacije obrazovanja (eng. ISCED) za ključne kompetencije (30 dvodnevnih seminara);</w:t>
            </w:r>
          </w:p>
          <w:p w14:paraId="1A5401A7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Podrška obuci, razvoj i redovno održavanje onlajn platforme kako bi se podržala obuka nastavnika i kolegijalno učenje kroz razmjenu prakse</w:t>
            </w:r>
          </w:p>
        </w:tc>
        <w:tc>
          <w:tcPr>
            <w:tcW w:w="2250" w:type="dxa"/>
            <w:vMerge/>
            <w:shd w:val="clear" w:color="auto" w:fill="auto"/>
          </w:tcPr>
          <w:p w14:paraId="23D010D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002342FB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63CD4B1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459B9D49" w14:textId="77777777" w:rsidTr="00184A0D">
        <w:tc>
          <w:tcPr>
            <w:tcW w:w="7650" w:type="dxa"/>
            <w:shd w:val="clear" w:color="auto" w:fill="auto"/>
          </w:tcPr>
          <w:p w14:paraId="58E07A4B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Komponenta 4: Osiguranje kvaliteta</w:t>
            </w:r>
          </w:p>
          <w:p w14:paraId="36C0814A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Razvoj i uvođenje pokazatelja ključnih kompetencije u metodologiju osiguranja kvaliteta i reviziju, te poboljšanje odgovarajućih kriterijuma i procesa za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internu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eksternu evaluaciju;</w:t>
            </w:r>
          </w:p>
          <w:p w14:paraId="122CB8E5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Konsultacije (obuka) članova školskog tima za internu evaluaciju za interno ocenjivanje u osnovnim i srednjim školama (12 jednodnevnih seminara, za oko 360 osoba);</w:t>
            </w:r>
          </w:p>
          <w:p w14:paraId="58BDE7D5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Obuka i podrška zaposlenima u Zavodu za školstvo, školama i visokoškolskim ustanovama koji su direktno odgovorni za osiguranje kvaliteta (uključujući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internu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eksternu evaluaciju) u pogledu MINT (3 dvodnevna seminara za otprilike 30 ljudi);</w:t>
            </w:r>
          </w:p>
        </w:tc>
        <w:tc>
          <w:tcPr>
            <w:tcW w:w="2250" w:type="dxa"/>
            <w:vMerge/>
            <w:shd w:val="clear" w:color="auto" w:fill="auto"/>
          </w:tcPr>
          <w:p w14:paraId="0873AA8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5861AFD8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36A3D127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7844A07" w14:textId="77777777" w:rsidTr="00184A0D">
        <w:tc>
          <w:tcPr>
            <w:tcW w:w="7650" w:type="dxa"/>
            <w:shd w:val="clear" w:color="auto" w:fill="auto"/>
          </w:tcPr>
          <w:p w14:paraId="7DEDC45F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 xml:space="preserve">Komponenta 5: Analiza inputa, procesa i učinka u MINT-u </w:t>
            </w:r>
          </w:p>
          <w:p w14:paraId="25935BF6" w14:textId="77777777" w:rsidR="00E32A3A" w:rsidRPr="00942197" w:rsidRDefault="00E32A3A" w:rsidP="00E32A3A">
            <w:pPr>
              <w:keepNext/>
              <w:keepLines/>
              <w:pageBreakBefore/>
              <w:numPr>
                <w:ilvl w:val="0"/>
                <w:numId w:val="7"/>
              </w:numPr>
              <w:spacing w:before="240" w:after="0" w:line="240" w:lineRule="auto"/>
              <w:outlineLvl w:val="0"/>
              <w:rPr>
                <w:rFonts w:ascii="Arial" w:eastAsia="Times New Roman" w:hAnsi="Arial"/>
                <w:b/>
                <w:vanish/>
                <w:color w:val="7A2021"/>
                <w:spacing w:val="-8"/>
                <w:sz w:val="16"/>
                <w:szCs w:val="16"/>
                <w:lang w:val="sr-Latn-ME"/>
              </w:rPr>
            </w:pPr>
            <w:bookmarkStart w:id="2" w:name="_Toc511654878"/>
            <w:bookmarkStart w:id="3" w:name="_Toc511654925"/>
            <w:bookmarkStart w:id="4" w:name="_Toc511656044"/>
            <w:bookmarkStart w:id="5" w:name="_Toc511656321"/>
            <w:bookmarkStart w:id="6" w:name="_Toc515207213"/>
            <w:bookmarkStart w:id="7" w:name="_Toc515207671"/>
            <w:bookmarkStart w:id="8" w:name="_Toc515207749"/>
            <w:bookmarkStart w:id="9" w:name="_Toc515207853"/>
            <w:bookmarkStart w:id="10" w:name="_Toc515207958"/>
            <w:bookmarkStart w:id="11" w:name="_Toc515222467"/>
            <w:bookmarkStart w:id="12" w:name="_Toc515239808"/>
            <w:bookmarkStart w:id="13" w:name="_Toc515245168"/>
            <w:bookmarkStart w:id="14" w:name="_Toc515245246"/>
            <w:bookmarkStart w:id="15" w:name="_Toc515247039"/>
            <w:bookmarkStart w:id="16" w:name="_Toc515259268"/>
            <w:bookmarkStart w:id="17" w:name="_Toc515260241"/>
            <w:bookmarkStart w:id="18" w:name="_Toc515261009"/>
            <w:bookmarkStart w:id="19" w:name="_Toc515261956"/>
            <w:bookmarkStart w:id="20" w:name="_Toc518899593"/>
            <w:bookmarkStart w:id="21" w:name="_Toc518902584"/>
            <w:bookmarkStart w:id="22" w:name="_Toc518902749"/>
            <w:bookmarkStart w:id="23" w:name="_Toc2948293"/>
            <w:bookmarkStart w:id="24" w:name="_Toc4135457"/>
            <w:bookmarkStart w:id="25" w:name="_Toc4151596"/>
            <w:bookmarkStart w:id="26" w:name="_Toc4409115"/>
            <w:bookmarkStart w:id="27" w:name="_Toc4415385"/>
            <w:bookmarkStart w:id="28" w:name="_Toc4485295"/>
            <w:bookmarkStart w:id="29" w:name="_Toc4658971"/>
            <w:bookmarkStart w:id="30" w:name="_Toc4676819"/>
            <w:bookmarkStart w:id="31" w:name="_Toc4678439"/>
            <w:bookmarkStart w:id="32" w:name="_Toc4678485"/>
            <w:bookmarkStart w:id="33" w:name="_Toc4678532"/>
            <w:bookmarkStart w:id="34" w:name="_Toc4678585"/>
            <w:bookmarkStart w:id="35" w:name="_Toc4678632"/>
            <w:bookmarkStart w:id="36" w:name="_Toc4680227"/>
            <w:bookmarkStart w:id="37" w:name="_Toc4682326"/>
            <w:bookmarkStart w:id="38" w:name="_Toc4999572"/>
            <w:bookmarkStart w:id="39" w:name="_Toc5008216"/>
            <w:bookmarkStart w:id="40" w:name="_Toc5010564"/>
            <w:bookmarkStart w:id="41" w:name="_Toc5013960"/>
            <w:bookmarkStart w:id="42" w:name="_Toc5020295"/>
            <w:bookmarkStart w:id="43" w:name="_Toc5023289"/>
            <w:bookmarkStart w:id="44" w:name="_Toc5023339"/>
            <w:bookmarkStart w:id="45" w:name="_Toc5024850"/>
            <w:bookmarkStart w:id="46" w:name="_Toc5025165"/>
            <w:bookmarkStart w:id="47" w:name="_Toc5026060"/>
            <w:bookmarkStart w:id="48" w:name="_Toc5026109"/>
            <w:bookmarkStart w:id="49" w:name="_Toc5026167"/>
            <w:bookmarkStart w:id="50" w:name="_Toc5026797"/>
            <w:bookmarkStart w:id="51" w:name="_Toc5026852"/>
            <w:bookmarkStart w:id="52" w:name="_Toc5027188"/>
            <w:bookmarkStart w:id="53" w:name="_Toc5096934"/>
            <w:bookmarkStart w:id="54" w:name="_Toc5098418"/>
            <w:bookmarkStart w:id="55" w:name="_Toc5098614"/>
            <w:bookmarkStart w:id="56" w:name="_Toc5268663"/>
            <w:bookmarkStart w:id="57" w:name="_Toc5268783"/>
            <w:bookmarkStart w:id="58" w:name="_Toc5269227"/>
            <w:bookmarkStart w:id="59" w:name="_Toc5269546"/>
            <w:bookmarkStart w:id="60" w:name="_Toc5269601"/>
            <w:bookmarkStart w:id="61" w:name="_Toc5270052"/>
            <w:bookmarkStart w:id="62" w:name="_Toc5270237"/>
            <w:bookmarkStart w:id="63" w:name="_Toc5272747"/>
            <w:bookmarkStart w:id="64" w:name="_Toc5272798"/>
            <w:bookmarkStart w:id="65" w:name="_Toc5272850"/>
            <w:bookmarkStart w:id="66" w:name="_Toc5275730"/>
            <w:bookmarkStart w:id="67" w:name="_Toc5276673"/>
            <w:bookmarkStart w:id="68" w:name="_Toc5358295"/>
            <w:bookmarkStart w:id="69" w:name="_Toc5364540"/>
            <w:bookmarkStart w:id="70" w:name="_Toc5607671"/>
            <w:bookmarkStart w:id="71" w:name="_Toc5607842"/>
            <w:bookmarkStart w:id="72" w:name="_Toc5612721"/>
            <w:bookmarkStart w:id="73" w:name="_Toc5613238"/>
            <w:bookmarkStart w:id="74" w:name="_Toc5615539"/>
            <w:bookmarkStart w:id="75" w:name="_Toc5621092"/>
            <w:bookmarkStart w:id="76" w:name="_Toc5621134"/>
            <w:bookmarkStart w:id="77" w:name="_Toc5625300"/>
            <w:bookmarkStart w:id="78" w:name="_Toc5629850"/>
            <w:bookmarkStart w:id="79" w:name="_Toc5629985"/>
            <w:bookmarkStart w:id="80" w:name="_Toc5630517"/>
            <w:bookmarkStart w:id="81" w:name="_Toc5783696"/>
            <w:bookmarkStart w:id="82" w:name="_Toc5790703"/>
            <w:bookmarkStart w:id="83" w:name="_Toc5790745"/>
            <w:bookmarkStart w:id="84" w:name="_Toc5804754"/>
            <w:bookmarkStart w:id="85" w:name="_Toc5959214"/>
            <w:bookmarkStart w:id="86" w:name="_Toc5959432"/>
            <w:bookmarkStart w:id="87" w:name="_Toc5959484"/>
            <w:bookmarkStart w:id="88" w:name="_Toc5960103"/>
            <w:bookmarkStart w:id="89" w:name="_Toc5965063"/>
            <w:bookmarkStart w:id="90" w:name="_Toc5969013"/>
            <w:bookmarkStart w:id="91" w:name="_Toc5970360"/>
            <w:bookmarkStart w:id="92" w:name="_Toc5970769"/>
            <w:bookmarkStart w:id="93" w:name="_Toc5970821"/>
            <w:bookmarkStart w:id="94" w:name="_Toc5974078"/>
            <w:bookmarkStart w:id="95" w:name="_Toc6918333"/>
            <w:bookmarkStart w:id="96" w:name="_Toc6918665"/>
            <w:bookmarkStart w:id="97" w:name="_Toc6925295"/>
            <w:bookmarkStart w:id="98" w:name="_Toc6989924"/>
            <w:bookmarkStart w:id="99" w:name="_Toc6989987"/>
            <w:bookmarkStart w:id="100" w:name="_Toc6990068"/>
            <w:bookmarkStart w:id="101" w:name="_Toc6990131"/>
            <w:bookmarkStart w:id="102" w:name="_Toc6990194"/>
            <w:bookmarkStart w:id="103" w:name="_Toc6990263"/>
            <w:bookmarkStart w:id="104" w:name="_Toc6990326"/>
            <w:bookmarkStart w:id="105" w:name="_Toc6990390"/>
            <w:bookmarkStart w:id="106" w:name="_Toc6990454"/>
            <w:bookmarkStart w:id="107" w:name="_Toc6991057"/>
            <w:bookmarkStart w:id="108" w:name="_Toc6995196"/>
            <w:bookmarkStart w:id="109" w:name="_Toc6995260"/>
            <w:bookmarkStart w:id="110" w:name="_Toc6995790"/>
            <w:bookmarkStart w:id="111" w:name="_Toc7011428"/>
            <w:bookmarkStart w:id="112" w:name="_Toc7019730"/>
            <w:bookmarkStart w:id="113" w:name="_Toc7020913"/>
            <w:bookmarkStart w:id="114" w:name="_Toc7035922"/>
            <w:bookmarkStart w:id="115" w:name="_Toc7039128"/>
            <w:bookmarkStart w:id="116" w:name="_Toc7039391"/>
            <w:bookmarkStart w:id="117" w:name="_Toc7040620"/>
            <w:bookmarkStart w:id="118" w:name="_Toc10713251"/>
            <w:bookmarkStart w:id="119" w:name="_Toc10713511"/>
            <w:bookmarkStart w:id="120" w:name="_Toc10713587"/>
            <w:bookmarkStart w:id="121" w:name="_Toc10715892"/>
            <w:bookmarkStart w:id="122" w:name="_Toc10716025"/>
            <w:bookmarkStart w:id="123" w:name="_Toc10716102"/>
            <w:bookmarkStart w:id="124" w:name="_Toc11053945"/>
            <w:bookmarkStart w:id="125" w:name="_Toc11054160"/>
            <w:bookmarkStart w:id="126" w:name="_Toc11054349"/>
            <w:bookmarkStart w:id="127" w:name="_Toc11054427"/>
            <w:bookmarkStart w:id="128" w:name="_Toc11063603"/>
            <w:bookmarkStart w:id="129" w:name="_Toc11063681"/>
            <w:bookmarkStart w:id="130" w:name="_Toc11063759"/>
            <w:bookmarkStart w:id="131" w:name="_Toc11063838"/>
            <w:bookmarkStart w:id="132" w:name="_Toc11063916"/>
            <w:bookmarkStart w:id="133" w:name="_Toc11072529"/>
            <w:bookmarkStart w:id="134" w:name="_Toc11076522"/>
            <w:bookmarkStart w:id="135" w:name="_Toc11076601"/>
            <w:bookmarkStart w:id="136" w:name="_Toc11076679"/>
            <w:bookmarkStart w:id="137" w:name="_Toc11136911"/>
            <w:bookmarkStart w:id="138" w:name="_Toc11155537"/>
            <w:bookmarkStart w:id="139" w:name="_Toc11155620"/>
            <w:bookmarkStart w:id="140" w:name="_Toc21417364"/>
            <w:bookmarkStart w:id="141" w:name="_Toc21417706"/>
            <w:bookmarkStart w:id="142" w:name="_Toc21417830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</w:p>
          <w:p w14:paraId="213BB221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Sprovođenje nacionalnih istraživanja za II i III ciklus (1. i 2. nivo Međunarodne standardne klasifikacije obrazovanja) za MINT discipline (koristeći reprezentativni uzorak) (razviti studiju);</w:t>
            </w:r>
          </w:p>
          <w:p w14:paraId="0A2D5397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Razvijanje novih predmeta za testiranje za učenička postignuća u disciplinama MINT-a.</w:t>
            </w:r>
          </w:p>
          <w:p w14:paraId="07EC72CB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Sve aktivnosti u okviru komponenti treba da budu koordinirane u pogledu vremena i rezultata.</w:t>
            </w:r>
          </w:p>
        </w:tc>
        <w:tc>
          <w:tcPr>
            <w:tcW w:w="2250" w:type="dxa"/>
            <w:vMerge/>
            <w:shd w:val="clear" w:color="auto" w:fill="auto"/>
          </w:tcPr>
          <w:p w14:paraId="14FC8C4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379EFC14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69395525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7CB49998" w14:textId="77777777" w:rsidTr="00184A0D">
        <w:tc>
          <w:tcPr>
            <w:tcW w:w="7650" w:type="dxa"/>
            <w:shd w:val="clear" w:color="auto" w:fill="auto"/>
          </w:tcPr>
          <w:p w14:paraId="0918C35E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lastRenderedPageBreak/>
              <w:t>Aktivnosti preklapanja</w:t>
            </w:r>
          </w:p>
          <w:p w14:paraId="160B91F1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Monitoring i evaluacija projekta </w:t>
            </w:r>
          </w:p>
          <w:p w14:paraId="54EA8525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Satanak upravnog odbora projekta</w:t>
            </w:r>
          </w:p>
          <w:p w14:paraId="4402B7EE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bCs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Cs/>
                <w:spacing w:val="-8"/>
                <w:sz w:val="16"/>
                <w:szCs w:val="16"/>
                <w:lang w:val="sr-Latn-ME"/>
              </w:rPr>
              <w:t>Izvještavanje o napretku projekta</w:t>
            </w:r>
          </w:p>
        </w:tc>
        <w:tc>
          <w:tcPr>
            <w:tcW w:w="2250" w:type="dxa"/>
            <w:vMerge/>
            <w:shd w:val="clear" w:color="auto" w:fill="auto"/>
          </w:tcPr>
          <w:p w14:paraId="3756F6F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1E4DED01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2E89EF78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65F00C80" w14:textId="77777777" w:rsidTr="00184A0D">
        <w:tc>
          <w:tcPr>
            <w:tcW w:w="7650" w:type="dxa"/>
            <w:shd w:val="clear" w:color="auto" w:fill="auto"/>
          </w:tcPr>
          <w:p w14:paraId="3775559A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Završna faza</w:t>
            </w:r>
          </w:p>
          <w:p w14:paraId="2B61D8AD" w14:textId="77777777" w:rsidR="00E32A3A" w:rsidRPr="00942197" w:rsidRDefault="00E32A3A" w:rsidP="00E32A3A">
            <w:pPr>
              <w:numPr>
                <w:ilvl w:val="1"/>
                <w:numId w:val="11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b/>
                <w:color w:val="7A2021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Proces primo-predaje i zatvaranje projektne kancelarije </w:t>
            </w:r>
          </w:p>
        </w:tc>
        <w:tc>
          <w:tcPr>
            <w:tcW w:w="2250" w:type="dxa"/>
            <w:vMerge/>
            <w:shd w:val="clear" w:color="auto" w:fill="auto"/>
          </w:tcPr>
          <w:p w14:paraId="63C2359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2C8FE742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27A7A84B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</w:tbl>
    <w:p w14:paraId="451C80BD" w14:textId="77777777" w:rsidR="00E32A3A" w:rsidRPr="00942197" w:rsidRDefault="00E32A3A" w:rsidP="00E32A3A">
      <w:pPr>
        <w:spacing w:after="0" w:line="240" w:lineRule="auto"/>
        <w:jc w:val="both"/>
        <w:rPr>
          <w:rFonts w:ascii="Arial" w:hAnsi="Arial" w:cs="Arial"/>
          <w:lang w:val="sr-Latn-ME"/>
        </w:rPr>
      </w:pPr>
    </w:p>
    <w:p w14:paraId="2519A395" w14:textId="77777777" w:rsidR="00FA2C78" w:rsidRDefault="00FA2C78"/>
    <w:sectPr w:rsidR="00FA2C78" w:rsidSect="00E32A3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F6953" w14:textId="77777777" w:rsidR="00432ACA" w:rsidRDefault="00432ACA" w:rsidP="00243739">
      <w:pPr>
        <w:spacing w:after="0" w:line="240" w:lineRule="auto"/>
      </w:pPr>
      <w:r>
        <w:separator/>
      </w:r>
    </w:p>
  </w:endnote>
  <w:endnote w:type="continuationSeparator" w:id="0">
    <w:p w14:paraId="38863635" w14:textId="77777777" w:rsidR="00432ACA" w:rsidRDefault="00432ACA" w:rsidP="0024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3E75B" w14:textId="77777777" w:rsidR="00432ACA" w:rsidRDefault="00432ACA" w:rsidP="00243739">
      <w:pPr>
        <w:spacing w:after="0" w:line="240" w:lineRule="auto"/>
      </w:pPr>
      <w:r>
        <w:separator/>
      </w:r>
    </w:p>
  </w:footnote>
  <w:footnote w:type="continuationSeparator" w:id="0">
    <w:p w14:paraId="2D518EDE" w14:textId="77777777" w:rsidR="00432ACA" w:rsidRDefault="00432ACA" w:rsidP="0024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8792C" w14:textId="7E6BFFAE" w:rsidR="00243739" w:rsidRPr="004939C1" w:rsidRDefault="00243739">
    <w:pPr>
      <w:pStyle w:val="Header"/>
      <w:rPr>
        <w:rFonts w:ascii="Roboto" w:hAnsi="Roboto"/>
        <w:b/>
        <w:bCs/>
        <w:lang w:val="en-GB"/>
      </w:rPr>
    </w:pPr>
    <w:proofErr w:type="spellStart"/>
    <w:r w:rsidRPr="00243739">
      <w:rPr>
        <w:rFonts w:ascii="Roboto" w:hAnsi="Roboto"/>
        <w:i/>
        <w:iCs/>
        <w:lang w:val="en-GB"/>
      </w:rPr>
      <w:t>Integracija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ključnih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kompetencija</w:t>
    </w:r>
    <w:proofErr w:type="spellEnd"/>
    <w:r w:rsidRPr="00243739">
      <w:rPr>
        <w:rFonts w:ascii="Roboto" w:hAnsi="Roboto"/>
        <w:i/>
        <w:iCs/>
        <w:lang w:val="en-GB"/>
      </w:rPr>
      <w:t xml:space="preserve"> u </w:t>
    </w:r>
    <w:proofErr w:type="spellStart"/>
    <w:r w:rsidRPr="00243739">
      <w:rPr>
        <w:rFonts w:ascii="Roboto" w:hAnsi="Roboto"/>
        <w:i/>
        <w:iCs/>
        <w:lang w:val="en-GB"/>
      </w:rPr>
      <w:t>obrazovni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sistem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Crne</w:t>
    </w:r>
    <w:proofErr w:type="spellEnd"/>
    <w:r w:rsidRPr="00243739">
      <w:rPr>
        <w:rFonts w:ascii="Roboto" w:hAnsi="Roboto"/>
        <w:i/>
        <w:iCs/>
        <w:lang w:val="en-GB"/>
      </w:rPr>
      <w:t xml:space="preserve"> Gore </w:t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r w:rsidR="004939C1" w:rsidRPr="004939C1">
      <w:rPr>
        <w:rFonts w:ascii="Arial" w:hAnsi="Arial" w:cs="Arial"/>
        <w:b/>
        <w:bCs/>
        <w:sz w:val="24"/>
        <w:szCs w:val="24"/>
        <w:lang w:val="sr-Latn-ME"/>
      </w:rPr>
      <w:t xml:space="preserve">Prilog 1: </w:t>
    </w:r>
    <w:proofErr w:type="spellStart"/>
    <w:r w:rsidRPr="004939C1">
      <w:rPr>
        <w:rFonts w:ascii="Roboto" w:hAnsi="Roboto"/>
        <w:b/>
        <w:bCs/>
        <w:lang w:val="en-GB"/>
      </w:rPr>
      <w:t>Matrica</w:t>
    </w:r>
    <w:proofErr w:type="spellEnd"/>
    <w:r w:rsidRPr="004939C1">
      <w:rPr>
        <w:rFonts w:ascii="Roboto" w:hAnsi="Roboto"/>
        <w:b/>
        <w:bCs/>
        <w:lang w:val="en-GB"/>
      </w:rPr>
      <w:t xml:space="preserve"> </w:t>
    </w:r>
    <w:proofErr w:type="spellStart"/>
    <w:r w:rsidRPr="004939C1">
      <w:rPr>
        <w:rFonts w:ascii="Roboto" w:hAnsi="Roboto"/>
        <w:b/>
        <w:bCs/>
        <w:lang w:val="en-GB"/>
      </w:rPr>
      <w:t>logičkog</w:t>
    </w:r>
    <w:proofErr w:type="spellEnd"/>
    <w:r w:rsidRPr="004939C1">
      <w:rPr>
        <w:rFonts w:ascii="Roboto" w:hAnsi="Roboto"/>
        <w:b/>
        <w:bCs/>
        <w:lang w:val="en-GB"/>
      </w:rPr>
      <w:t xml:space="preserve"> </w:t>
    </w:r>
    <w:proofErr w:type="spellStart"/>
    <w:r w:rsidRPr="004939C1">
      <w:rPr>
        <w:rFonts w:ascii="Roboto" w:hAnsi="Roboto"/>
        <w:b/>
        <w:bCs/>
        <w:lang w:val="en-GB"/>
      </w:rPr>
      <w:t>okvira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B080C"/>
    <w:multiLevelType w:val="multilevel"/>
    <w:tmpl w:val="EB5E1F3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A892749"/>
    <w:multiLevelType w:val="multilevel"/>
    <w:tmpl w:val="9086CD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EEA3B80"/>
    <w:multiLevelType w:val="hybridMultilevel"/>
    <w:tmpl w:val="5226CDE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9002E"/>
    <w:multiLevelType w:val="multilevel"/>
    <w:tmpl w:val="402A0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4" w15:restartNumberingAfterBreak="0">
    <w:nsid w:val="24102B42"/>
    <w:multiLevelType w:val="multilevel"/>
    <w:tmpl w:val="FCF62C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5E8461E"/>
    <w:multiLevelType w:val="hybridMultilevel"/>
    <w:tmpl w:val="78A4B472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07259"/>
    <w:multiLevelType w:val="multilevel"/>
    <w:tmpl w:val="361EA9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4330CB1"/>
    <w:multiLevelType w:val="hybridMultilevel"/>
    <w:tmpl w:val="11F2B3C0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C5793"/>
    <w:multiLevelType w:val="multilevel"/>
    <w:tmpl w:val="B442E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00A21CE"/>
    <w:multiLevelType w:val="multilevel"/>
    <w:tmpl w:val="E7AA0E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2034D96"/>
    <w:multiLevelType w:val="multilevel"/>
    <w:tmpl w:val="BEE86C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18"/>
      </w:rPr>
    </w:lvl>
  </w:abstractNum>
  <w:abstractNum w:abstractNumId="11" w15:restartNumberingAfterBreak="0">
    <w:nsid w:val="74ED7A87"/>
    <w:multiLevelType w:val="multilevel"/>
    <w:tmpl w:val="18C6C1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9"/>
  </w:num>
  <w:num w:numId="5">
    <w:abstractNumId w:val="10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oris Curkovic">
    <w15:presenceInfo w15:providerId="Windows Live" w15:userId="d2d290f20fa3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3A"/>
    <w:rsid w:val="00002B45"/>
    <w:rsid w:val="000A07F7"/>
    <w:rsid w:val="00243739"/>
    <w:rsid w:val="00432ACA"/>
    <w:rsid w:val="004939C1"/>
    <w:rsid w:val="00880A03"/>
    <w:rsid w:val="00B42D27"/>
    <w:rsid w:val="00C36DBE"/>
    <w:rsid w:val="00C93F5C"/>
    <w:rsid w:val="00D269C1"/>
    <w:rsid w:val="00D46EE0"/>
    <w:rsid w:val="00E32A3A"/>
    <w:rsid w:val="00FA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92EA"/>
  <w15:chartTrackingRefBased/>
  <w15:docId w15:val="{6033D348-6585-4DC2-A73E-4548E6FC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A3A"/>
    <w:rPr>
      <w:rFonts w:ascii="Calibri" w:eastAsia="Calibri" w:hAnsi="Calibri" w:cs="Times New Roman"/>
      <w:lang w:val="de-AT"/>
    </w:rPr>
  </w:style>
  <w:style w:type="paragraph" w:styleId="Heading2">
    <w:name w:val="heading 2"/>
    <w:basedOn w:val="Normal"/>
    <w:next w:val="Normal"/>
    <w:link w:val="Heading2Char"/>
    <w:qFormat/>
    <w:rsid w:val="00E32A3A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32A3A"/>
    <w:rPr>
      <w:rFonts w:ascii="Calibri Light" w:eastAsia="Times New Roman" w:hAnsi="Calibri Light" w:cs="Times New Roman"/>
      <w:b/>
      <w:bCs/>
      <w:color w:val="5B9BD5"/>
      <w:sz w:val="26"/>
      <w:szCs w:val="26"/>
      <w:lang w:val="de-AT"/>
    </w:rPr>
  </w:style>
  <w:style w:type="paragraph" w:styleId="Header">
    <w:name w:val="header"/>
    <w:basedOn w:val="Normal"/>
    <w:link w:val="HeaderChar"/>
    <w:uiPriority w:val="99"/>
    <w:unhideWhenUsed/>
    <w:rsid w:val="0024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739"/>
    <w:rPr>
      <w:rFonts w:ascii="Calibri" w:eastAsia="Calibri" w:hAnsi="Calibri" w:cs="Times New Roman"/>
      <w:lang w:val="de-AT"/>
    </w:rPr>
  </w:style>
  <w:style w:type="paragraph" w:styleId="Footer">
    <w:name w:val="footer"/>
    <w:basedOn w:val="Normal"/>
    <w:link w:val="FooterChar"/>
    <w:uiPriority w:val="99"/>
    <w:unhideWhenUsed/>
    <w:rsid w:val="0024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739"/>
    <w:rPr>
      <w:rFonts w:ascii="Calibri" w:eastAsia="Calibri" w:hAnsi="Calibri" w:cs="Times New Roman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1803</Words>
  <Characters>10278</Characters>
  <Application>Microsoft Office Word</Application>
  <DocSecurity>0</DocSecurity>
  <Lines>85</Lines>
  <Paragraphs>24</Paragraphs>
  <ScaleCrop>false</ScaleCrop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Manager</dc:creator>
  <cp:keywords/>
  <dc:description/>
  <cp:lastModifiedBy>Boris Curkovic</cp:lastModifiedBy>
  <cp:revision>2</cp:revision>
  <dcterms:created xsi:type="dcterms:W3CDTF">2020-11-17T12:11:00Z</dcterms:created>
  <dcterms:modified xsi:type="dcterms:W3CDTF">2020-11-17T12:11:00Z</dcterms:modified>
</cp:coreProperties>
</file>