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C744D" w14:textId="27D685F3" w:rsidR="00C02C7D" w:rsidRPr="008144F4" w:rsidRDefault="0097618D" w:rsidP="009022B7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 w:rsidRPr="008144F4">
        <w:rPr>
          <w:b/>
          <w:sz w:val="24"/>
          <w:szCs w:val="24"/>
          <w:lang w:val="hr-HR"/>
        </w:rPr>
        <w:t>I</w:t>
      </w:r>
      <w:r w:rsidR="00CC6B56" w:rsidRPr="008144F4">
        <w:rPr>
          <w:b/>
          <w:sz w:val="24"/>
          <w:szCs w:val="24"/>
          <w:lang w:val="hr-HR"/>
        </w:rPr>
        <w:t xml:space="preserve"> </w:t>
      </w:r>
      <w:r w:rsidRPr="008144F4">
        <w:rPr>
          <w:b/>
          <w:sz w:val="24"/>
          <w:szCs w:val="24"/>
          <w:lang w:val="hr-HR"/>
        </w:rPr>
        <w:t>Z</w:t>
      </w:r>
      <w:r w:rsidR="00CC6B56" w:rsidRPr="008144F4">
        <w:rPr>
          <w:b/>
          <w:sz w:val="24"/>
          <w:szCs w:val="24"/>
          <w:lang w:val="hr-HR"/>
        </w:rPr>
        <w:t xml:space="preserve"> </w:t>
      </w:r>
      <w:r w:rsidRPr="008144F4">
        <w:rPr>
          <w:b/>
          <w:sz w:val="24"/>
          <w:szCs w:val="24"/>
          <w:lang w:val="hr-HR"/>
        </w:rPr>
        <w:t>V</w:t>
      </w:r>
      <w:r w:rsidR="00CC6B56" w:rsidRPr="008144F4">
        <w:rPr>
          <w:b/>
          <w:sz w:val="24"/>
          <w:szCs w:val="24"/>
          <w:lang w:val="hr-HR"/>
        </w:rPr>
        <w:t xml:space="preserve"> </w:t>
      </w:r>
      <w:r w:rsidRPr="008144F4">
        <w:rPr>
          <w:b/>
          <w:sz w:val="24"/>
          <w:szCs w:val="24"/>
          <w:lang w:val="hr-HR"/>
        </w:rPr>
        <w:t>J</w:t>
      </w:r>
      <w:r w:rsidR="00CC6B56" w:rsidRPr="008144F4">
        <w:rPr>
          <w:b/>
          <w:sz w:val="24"/>
          <w:szCs w:val="24"/>
          <w:lang w:val="hr-HR"/>
        </w:rPr>
        <w:t xml:space="preserve"> </w:t>
      </w:r>
      <w:r w:rsidRPr="008144F4">
        <w:rPr>
          <w:b/>
          <w:sz w:val="24"/>
          <w:szCs w:val="24"/>
          <w:lang w:val="hr-HR"/>
        </w:rPr>
        <w:t>E</w:t>
      </w:r>
      <w:r w:rsidR="00CC6B56" w:rsidRPr="008144F4">
        <w:rPr>
          <w:b/>
          <w:sz w:val="24"/>
          <w:szCs w:val="24"/>
          <w:lang w:val="hr-HR"/>
        </w:rPr>
        <w:t xml:space="preserve"> </w:t>
      </w:r>
      <w:r w:rsidRPr="008144F4">
        <w:rPr>
          <w:b/>
          <w:sz w:val="24"/>
          <w:szCs w:val="24"/>
          <w:lang w:val="hr-HR"/>
        </w:rPr>
        <w:t>Š</w:t>
      </w:r>
      <w:r w:rsidR="00CC6B56" w:rsidRPr="008144F4">
        <w:rPr>
          <w:b/>
          <w:sz w:val="24"/>
          <w:szCs w:val="24"/>
          <w:lang w:val="hr-HR"/>
        </w:rPr>
        <w:t xml:space="preserve"> </w:t>
      </w:r>
      <w:r w:rsidRPr="008144F4">
        <w:rPr>
          <w:b/>
          <w:sz w:val="24"/>
          <w:szCs w:val="24"/>
          <w:lang w:val="hr-HR"/>
        </w:rPr>
        <w:t>T</w:t>
      </w:r>
      <w:r w:rsidR="00CC6B56" w:rsidRPr="008144F4">
        <w:rPr>
          <w:b/>
          <w:sz w:val="24"/>
          <w:szCs w:val="24"/>
          <w:lang w:val="hr-HR"/>
        </w:rPr>
        <w:t xml:space="preserve"> </w:t>
      </w:r>
      <w:r w:rsidRPr="008144F4">
        <w:rPr>
          <w:b/>
          <w:sz w:val="24"/>
          <w:szCs w:val="24"/>
          <w:lang w:val="hr-HR"/>
        </w:rPr>
        <w:t>A</w:t>
      </w:r>
      <w:r w:rsidR="00CC6B56" w:rsidRPr="008144F4">
        <w:rPr>
          <w:b/>
          <w:sz w:val="24"/>
          <w:szCs w:val="24"/>
          <w:lang w:val="hr-HR"/>
        </w:rPr>
        <w:t xml:space="preserve"> </w:t>
      </w:r>
      <w:r w:rsidRPr="008144F4">
        <w:rPr>
          <w:b/>
          <w:sz w:val="24"/>
          <w:szCs w:val="24"/>
          <w:lang w:val="hr-HR"/>
        </w:rPr>
        <w:t>J</w:t>
      </w:r>
    </w:p>
    <w:p w14:paraId="31D51298" w14:textId="77777777" w:rsidR="0097618D" w:rsidRPr="008144F4" w:rsidRDefault="0097618D" w:rsidP="009022B7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 w:rsidRPr="008144F4">
        <w:rPr>
          <w:b/>
          <w:sz w:val="24"/>
          <w:szCs w:val="24"/>
          <w:lang w:val="hr-HR"/>
        </w:rPr>
        <w:t xml:space="preserve">s prvog sastanka Projektnog tima </w:t>
      </w:r>
    </w:p>
    <w:p w14:paraId="334B4C54" w14:textId="252BC36D" w:rsidR="0097618D" w:rsidRPr="008144F4" w:rsidRDefault="0097618D" w:rsidP="009022B7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 w:rsidRPr="008144F4">
        <w:rPr>
          <w:b/>
          <w:sz w:val="24"/>
          <w:szCs w:val="24"/>
          <w:lang w:val="hr-HR"/>
        </w:rPr>
        <w:t>održanog u Podgorici, 11. i 12.12.2019. godine</w:t>
      </w:r>
    </w:p>
    <w:p w14:paraId="039EA4D8" w14:textId="77777777" w:rsidR="0097618D" w:rsidRPr="008144F4" w:rsidRDefault="0097618D" w:rsidP="0097618D">
      <w:pPr>
        <w:spacing w:before="100" w:after="100" w:line="276" w:lineRule="auto"/>
        <w:ind w:left="360"/>
        <w:jc w:val="both"/>
        <w:rPr>
          <w:bCs/>
          <w:lang w:val="hr-HR"/>
        </w:rPr>
      </w:pPr>
    </w:p>
    <w:p w14:paraId="1E3E1AA1" w14:textId="792B91AB" w:rsidR="006D1C48" w:rsidRPr="008144F4" w:rsidRDefault="0097618D" w:rsidP="006D1C48">
      <w:pPr>
        <w:spacing w:before="100" w:after="100" w:line="276" w:lineRule="auto"/>
        <w:ind w:left="90"/>
        <w:jc w:val="both"/>
        <w:rPr>
          <w:lang w:val="hr-HR"/>
        </w:rPr>
      </w:pPr>
      <w:r w:rsidRPr="008144F4">
        <w:rPr>
          <w:bCs/>
          <w:lang w:val="hr-HR"/>
        </w:rPr>
        <w:t xml:space="preserve">Na sastanku su učestvovali sljedeći </w:t>
      </w:r>
      <w:r w:rsidRPr="008144F4">
        <w:rPr>
          <w:b/>
          <w:i/>
          <w:iCs/>
          <w:lang w:val="hr-HR"/>
        </w:rPr>
        <w:t>članovi Projektnog tima</w:t>
      </w:r>
      <w:r w:rsidRPr="008144F4">
        <w:rPr>
          <w:bCs/>
          <w:lang w:val="hr-HR"/>
        </w:rPr>
        <w:t xml:space="preserve">: </w:t>
      </w:r>
      <w:r w:rsidRPr="008144F4">
        <w:rPr>
          <w:b/>
          <w:bCs/>
          <w:lang w:val="hr-HR"/>
        </w:rPr>
        <w:t>Nevena Čabrilo</w:t>
      </w:r>
      <w:r w:rsidRPr="008144F4">
        <w:rPr>
          <w:lang w:val="hr-HR"/>
        </w:rPr>
        <w:t xml:space="preserve">, Zavod za školstvo i nacionalni projektni koordinator; </w:t>
      </w:r>
      <w:r w:rsidRPr="008144F4">
        <w:rPr>
          <w:b/>
          <w:bCs/>
          <w:lang w:val="hr-HR"/>
        </w:rPr>
        <w:t>Milena Roganović</w:t>
      </w:r>
      <w:r w:rsidRPr="008144F4">
        <w:rPr>
          <w:lang w:val="hr-HR"/>
        </w:rPr>
        <w:t xml:space="preserve">, </w:t>
      </w:r>
      <w:r w:rsidRPr="008144F4">
        <w:rPr>
          <w:b/>
          <w:bCs/>
          <w:lang w:val="hr-HR"/>
        </w:rPr>
        <w:t>Ministarstvo prosvjete</w:t>
      </w:r>
      <w:r w:rsidRPr="008144F4">
        <w:rPr>
          <w:lang w:val="hr-HR"/>
        </w:rPr>
        <w:t xml:space="preserve"> i projektni menadžer projektne kancelarije za implementaciju programa IPA II i korisničke ustanove; </w:t>
      </w:r>
      <w:r w:rsidRPr="008144F4">
        <w:rPr>
          <w:b/>
          <w:bCs/>
          <w:lang w:val="hr-HR"/>
        </w:rPr>
        <w:t>Arijana Nikolić</w:t>
      </w:r>
      <w:r w:rsidRPr="008144F4">
        <w:rPr>
          <w:lang w:val="hr-HR"/>
        </w:rPr>
        <w:t xml:space="preserve">, Ministarstvo prosvjete, </w:t>
      </w:r>
      <w:r w:rsidRPr="008144F4">
        <w:rPr>
          <w:b/>
          <w:bCs/>
          <w:lang w:val="hr-HR"/>
        </w:rPr>
        <w:t>Zora Bogićević</w:t>
      </w:r>
      <w:r w:rsidRPr="008144F4">
        <w:rPr>
          <w:lang w:val="hr-HR"/>
        </w:rPr>
        <w:t xml:space="preserve">, Ministarstvo prosvjete, </w:t>
      </w:r>
      <w:r w:rsidRPr="008144F4">
        <w:rPr>
          <w:b/>
          <w:bCs/>
          <w:lang w:val="hr-HR"/>
        </w:rPr>
        <w:t>Branka Kankaraš</w:t>
      </w:r>
      <w:r w:rsidRPr="008144F4">
        <w:rPr>
          <w:lang w:val="hr-HR"/>
        </w:rPr>
        <w:t xml:space="preserve">, Ministarstvo prosvjete; </w:t>
      </w:r>
      <w:r w:rsidRPr="008144F4">
        <w:rPr>
          <w:b/>
          <w:bCs/>
          <w:lang w:val="hr-HR"/>
        </w:rPr>
        <w:t>Radovan Ognjanović</w:t>
      </w:r>
      <w:r w:rsidRPr="008144F4">
        <w:rPr>
          <w:lang w:val="hr-HR"/>
        </w:rPr>
        <w:t xml:space="preserve">, Zavod za školstvo; </w:t>
      </w:r>
      <w:r w:rsidRPr="008144F4">
        <w:rPr>
          <w:b/>
          <w:bCs/>
          <w:lang w:val="hr-HR"/>
        </w:rPr>
        <w:t>Nataša Gazivoda</w:t>
      </w:r>
      <w:r w:rsidRPr="008144F4">
        <w:rPr>
          <w:lang w:val="hr-HR"/>
        </w:rPr>
        <w:t xml:space="preserve">, Zavod za školstvo, </w:t>
      </w:r>
      <w:r w:rsidRPr="008144F4">
        <w:rPr>
          <w:b/>
          <w:bCs/>
          <w:lang w:val="hr-HR"/>
        </w:rPr>
        <w:t>Radoje Novović</w:t>
      </w:r>
      <w:r w:rsidRPr="008144F4">
        <w:rPr>
          <w:lang w:val="hr-HR"/>
        </w:rPr>
        <w:t xml:space="preserve">, Zavod za školstvo; </w:t>
      </w:r>
      <w:r w:rsidRPr="008144F4">
        <w:rPr>
          <w:b/>
          <w:bCs/>
          <w:lang w:val="hr-HR"/>
        </w:rPr>
        <w:t>Sandra Brkanović</w:t>
      </w:r>
      <w:r w:rsidRPr="008144F4">
        <w:rPr>
          <w:lang w:val="hr-HR"/>
        </w:rPr>
        <w:t xml:space="preserve">, Centar za stručno obrazovanje, </w:t>
      </w:r>
      <w:r w:rsidR="006D1C48" w:rsidRPr="008144F4">
        <w:rPr>
          <w:b/>
          <w:bCs/>
          <w:lang w:val="hr-HR"/>
        </w:rPr>
        <w:t>Dušica Marković</w:t>
      </w:r>
      <w:r w:rsidR="006D1C48" w:rsidRPr="008144F4">
        <w:rPr>
          <w:lang w:val="hr-HR"/>
        </w:rPr>
        <w:t xml:space="preserve">, </w:t>
      </w:r>
      <w:r w:rsidR="006D1C48" w:rsidRPr="008144F4">
        <w:rPr>
          <w:b/>
          <w:bCs/>
          <w:lang w:val="hr-HR"/>
        </w:rPr>
        <w:t>Tijana Vujošević</w:t>
      </w:r>
      <w:r w:rsidR="006D1C48" w:rsidRPr="008144F4">
        <w:rPr>
          <w:lang w:val="hr-HR"/>
        </w:rPr>
        <w:t xml:space="preserve"> i </w:t>
      </w:r>
      <w:r w:rsidR="006D1C48" w:rsidRPr="008144F4">
        <w:rPr>
          <w:b/>
          <w:bCs/>
          <w:lang w:val="hr-HR"/>
        </w:rPr>
        <w:t>Dragana Nenadović</w:t>
      </w:r>
      <w:r w:rsidR="006D1C48" w:rsidRPr="008144F4">
        <w:rPr>
          <w:lang w:val="hr-HR"/>
        </w:rPr>
        <w:t xml:space="preserve">, Ispitni centar Crne Gore (umjesto odsutne Zorice Minić); </w:t>
      </w:r>
      <w:r w:rsidRPr="008144F4">
        <w:rPr>
          <w:b/>
          <w:bCs/>
          <w:lang w:val="hr-HR"/>
        </w:rPr>
        <w:t>Žarko Pavićević</w:t>
      </w:r>
      <w:r w:rsidRPr="008144F4">
        <w:rPr>
          <w:lang w:val="hr-HR"/>
        </w:rPr>
        <w:t>, Prirodno-matematičk</w:t>
      </w:r>
      <w:r w:rsidR="006D1C48" w:rsidRPr="008144F4">
        <w:rPr>
          <w:lang w:val="hr-HR"/>
        </w:rPr>
        <w:t>i</w:t>
      </w:r>
      <w:r w:rsidRPr="008144F4">
        <w:rPr>
          <w:lang w:val="hr-HR"/>
        </w:rPr>
        <w:t xml:space="preserve"> fakultet Univerziteta Crne Gore</w:t>
      </w:r>
      <w:r w:rsidR="006D1C48" w:rsidRPr="008144F4">
        <w:rPr>
          <w:lang w:val="hr-HR"/>
        </w:rPr>
        <w:t xml:space="preserve">; </w:t>
      </w:r>
      <w:r w:rsidR="006D1C48" w:rsidRPr="008144F4">
        <w:rPr>
          <w:b/>
          <w:bCs/>
          <w:lang w:val="hr-HR"/>
        </w:rPr>
        <w:t>Božidar Popović</w:t>
      </w:r>
      <w:r w:rsidR="006D1C48" w:rsidRPr="008144F4">
        <w:rPr>
          <w:lang w:val="hr-HR"/>
        </w:rPr>
        <w:t xml:space="preserve">, Prirodno-matematički fakultet Univerziteta Crne Gore; </w:t>
      </w:r>
      <w:r w:rsidRPr="008144F4">
        <w:rPr>
          <w:lang w:val="hr-HR"/>
        </w:rPr>
        <w:t xml:space="preserve"> </w:t>
      </w:r>
      <w:r w:rsidR="006D1C48" w:rsidRPr="008144F4">
        <w:rPr>
          <w:b/>
          <w:bCs/>
          <w:lang w:val="hr-HR"/>
        </w:rPr>
        <w:t>Dijana Vučković</w:t>
      </w:r>
      <w:r w:rsidR="006D1C48" w:rsidRPr="008144F4">
        <w:rPr>
          <w:lang w:val="hr-HR"/>
        </w:rPr>
        <w:t xml:space="preserve">, Filozofski fakultet Univerziteta Crne Gore; </w:t>
      </w:r>
      <w:r w:rsidR="006D1C48" w:rsidRPr="008144F4">
        <w:rPr>
          <w:b/>
          <w:bCs/>
          <w:lang w:val="hr-HR"/>
        </w:rPr>
        <w:t>Zdravko Božić</w:t>
      </w:r>
      <w:r w:rsidR="006D1C48" w:rsidRPr="008144F4">
        <w:rPr>
          <w:lang w:val="hr-HR"/>
        </w:rPr>
        <w:t xml:space="preserve">, Filološki fakultet Univerziteta Crne Gore; </w:t>
      </w:r>
      <w:r w:rsidRPr="008144F4">
        <w:rPr>
          <w:b/>
          <w:bCs/>
          <w:lang w:val="hr-HR"/>
        </w:rPr>
        <w:t>Tijana Stanković</w:t>
      </w:r>
      <w:r w:rsidRPr="008144F4">
        <w:rPr>
          <w:lang w:val="hr-HR"/>
        </w:rPr>
        <w:t>, Agencij</w:t>
      </w:r>
      <w:r w:rsidR="006D1C48" w:rsidRPr="008144F4">
        <w:rPr>
          <w:lang w:val="hr-HR"/>
        </w:rPr>
        <w:t>a</w:t>
      </w:r>
      <w:r w:rsidRPr="008144F4">
        <w:rPr>
          <w:lang w:val="hr-HR"/>
        </w:rPr>
        <w:t xml:space="preserve"> za kontrolu kvaliteta u visokom obrazovanju</w:t>
      </w:r>
      <w:r w:rsidR="006D1C48" w:rsidRPr="008144F4">
        <w:rPr>
          <w:lang w:val="hr-HR"/>
        </w:rPr>
        <w:t xml:space="preserve"> i </w:t>
      </w:r>
      <w:r w:rsidR="006D1C48" w:rsidRPr="008144F4">
        <w:rPr>
          <w:b/>
          <w:bCs/>
          <w:lang w:val="hr-HR"/>
        </w:rPr>
        <w:t>Milica Kavedžić</w:t>
      </w:r>
      <w:r w:rsidR="006D1C48" w:rsidRPr="008144F4">
        <w:rPr>
          <w:lang w:val="hr-HR"/>
        </w:rPr>
        <w:t xml:space="preserve">, Agencija za kontrolu kvaliteta u visokom obrazovanju (drugi dan, zamjena umjesto odsutne Tijane Stanković); </w:t>
      </w:r>
      <w:r w:rsidR="006D1C48" w:rsidRPr="008144F4">
        <w:rPr>
          <w:b/>
          <w:bCs/>
          <w:i/>
          <w:iCs/>
          <w:lang w:val="hr-HR"/>
        </w:rPr>
        <w:t>članovi ekspertskog tima</w:t>
      </w:r>
      <w:r w:rsidR="006D1C48" w:rsidRPr="008144F4">
        <w:rPr>
          <w:lang w:val="hr-HR"/>
        </w:rPr>
        <w:t xml:space="preserve">: </w:t>
      </w:r>
      <w:r w:rsidR="006D1C48" w:rsidRPr="008144F4">
        <w:rPr>
          <w:b/>
          <w:bCs/>
          <w:lang w:val="hr-HR"/>
        </w:rPr>
        <w:t>Boris Ćurković</w:t>
      </w:r>
      <w:r w:rsidR="006D1C48" w:rsidRPr="008144F4">
        <w:rPr>
          <w:lang w:val="hr-HR"/>
        </w:rPr>
        <w:t xml:space="preserve">, vođa tima; </w:t>
      </w:r>
      <w:r w:rsidR="006D1C48" w:rsidRPr="008144F4">
        <w:rPr>
          <w:b/>
          <w:bCs/>
          <w:lang w:val="hr-HR"/>
        </w:rPr>
        <w:t>Maja Jukić</w:t>
      </w:r>
      <w:r w:rsidR="006D1C48" w:rsidRPr="008144F4">
        <w:rPr>
          <w:lang w:val="hr-HR"/>
        </w:rPr>
        <w:t xml:space="preserve">, ključna stručnjakinja za obuku nastavnika; </w:t>
      </w:r>
      <w:r w:rsidR="006D1C48" w:rsidRPr="008144F4">
        <w:rPr>
          <w:b/>
          <w:bCs/>
          <w:lang w:val="hr-HR"/>
        </w:rPr>
        <w:t>Ljubica Špirić</w:t>
      </w:r>
      <w:r w:rsidR="006D1C48" w:rsidRPr="008144F4">
        <w:rPr>
          <w:lang w:val="hr-HR"/>
        </w:rPr>
        <w:t xml:space="preserve">, viši kratkoročni stručnjak za razvoj kurikuluma i obuku nastavnika i </w:t>
      </w:r>
      <w:r w:rsidR="006D1C48" w:rsidRPr="008144F4">
        <w:rPr>
          <w:b/>
          <w:bCs/>
          <w:lang w:val="hr-HR"/>
        </w:rPr>
        <w:t>Bojana Živković</w:t>
      </w:r>
      <w:r w:rsidR="006D1C48" w:rsidRPr="008144F4">
        <w:rPr>
          <w:lang w:val="hr-HR"/>
        </w:rPr>
        <w:t>, menadžerka projektne kancelarije.</w:t>
      </w:r>
    </w:p>
    <w:p w14:paraId="1AF4F26F" w14:textId="09B952CD" w:rsidR="0097618D" w:rsidRPr="008144F4" w:rsidRDefault="00164C2A" w:rsidP="006D1C48">
      <w:pPr>
        <w:spacing w:before="100" w:after="100" w:line="276" w:lineRule="auto"/>
        <w:ind w:left="90"/>
        <w:jc w:val="both"/>
        <w:rPr>
          <w:bCs/>
          <w:lang w:val="hr-HR"/>
        </w:rPr>
      </w:pPr>
      <w:r w:rsidRPr="008144F4">
        <w:rPr>
          <w:bCs/>
          <w:lang w:val="hr-HR"/>
        </w:rPr>
        <w:t xml:space="preserve">Sastanak je počeo u 8.00 sati uvodnom sesijom na kojoj su se predstavili članova Projektnog tima i članovi ekspertskog tima. Boris Ćurković je </w:t>
      </w:r>
      <w:r w:rsidR="00611E43">
        <w:rPr>
          <w:bCs/>
          <w:lang w:val="hr-HR"/>
        </w:rPr>
        <w:t>predstavio</w:t>
      </w:r>
      <w:r w:rsidRPr="008144F4">
        <w:rPr>
          <w:bCs/>
          <w:lang w:val="hr-HR"/>
        </w:rPr>
        <w:t xml:space="preserve"> Projek</w:t>
      </w:r>
      <w:r w:rsidR="00611E43">
        <w:rPr>
          <w:bCs/>
          <w:lang w:val="hr-HR"/>
        </w:rPr>
        <w:t>a</w:t>
      </w:r>
      <w:r w:rsidRPr="008144F4">
        <w:rPr>
          <w:bCs/>
          <w:lang w:val="hr-HR"/>
        </w:rPr>
        <w:t>t, navodeći aktivnosti iz početnog izvještaja i prijedloge za metodologiju njihove implementacije. Nakon toga izloženi su zadaci Projektnog tima i diskutovalo se o načinu rada. Kroz kratku radionicu članovi Projektnog tima iznijeli su očekivanja od Projektnog tima i od prvoga sastanka.</w:t>
      </w:r>
    </w:p>
    <w:p w14:paraId="22332A7C" w14:textId="3FEF0EAD" w:rsidR="00164C2A" w:rsidRPr="008144F4" w:rsidRDefault="00164C2A" w:rsidP="006D1C48">
      <w:pPr>
        <w:spacing w:before="100" w:after="100" w:line="276" w:lineRule="auto"/>
        <w:ind w:left="90"/>
        <w:jc w:val="both"/>
        <w:rPr>
          <w:bCs/>
          <w:lang w:val="hr-HR"/>
        </w:rPr>
      </w:pPr>
      <w:r w:rsidRPr="008144F4">
        <w:rPr>
          <w:bCs/>
          <w:lang w:val="hr-HR"/>
        </w:rPr>
        <w:t xml:space="preserve">Na drugoj sesiji je Boris Ćurković </w:t>
      </w:r>
      <w:r w:rsidR="00611E43">
        <w:rPr>
          <w:bCs/>
          <w:lang w:val="hr-HR"/>
        </w:rPr>
        <w:t>prezentovao</w:t>
      </w:r>
      <w:r w:rsidRPr="008144F4">
        <w:rPr>
          <w:bCs/>
          <w:lang w:val="hr-HR"/>
        </w:rPr>
        <w:t xml:space="preserve"> EU referentni okvir ključnih kompetencija za cjeloživotno učenje (2018), nakon čega su iznesena iskustva u </w:t>
      </w:r>
      <w:r w:rsidR="00611E43">
        <w:rPr>
          <w:bCs/>
          <w:lang w:val="hr-HR"/>
        </w:rPr>
        <w:t>sprovođenju</w:t>
      </w:r>
      <w:r w:rsidRPr="008144F4">
        <w:rPr>
          <w:bCs/>
          <w:lang w:val="hr-HR"/>
        </w:rPr>
        <w:t xml:space="preserve"> Referentnog okvira</w:t>
      </w:r>
      <w:r w:rsidR="00611E43">
        <w:rPr>
          <w:bCs/>
          <w:lang w:val="hr-HR"/>
        </w:rPr>
        <w:t xml:space="preserve"> </w:t>
      </w:r>
      <w:r w:rsidRPr="008144F4">
        <w:rPr>
          <w:bCs/>
          <w:lang w:val="hr-HR"/>
        </w:rPr>
        <w:t>u državama iz okruženja.</w:t>
      </w:r>
      <w:r w:rsidR="00611E43">
        <w:rPr>
          <w:bCs/>
          <w:lang w:val="hr-HR"/>
        </w:rPr>
        <w:t xml:space="preserve"> </w:t>
      </w:r>
      <w:r w:rsidRPr="008144F4">
        <w:rPr>
          <w:bCs/>
          <w:lang w:val="hr-HR"/>
        </w:rPr>
        <w:t xml:space="preserve">Ljubica Špirić je prezentirala isksutva </w:t>
      </w:r>
      <w:r w:rsidR="00611E43">
        <w:rPr>
          <w:bCs/>
          <w:lang w:val="hr-HR"/>
        </w:rPr>
        <w:t xml:space="preserve">iz </w:t>
      </w:r>
      <w:r w:rsidRPr="008144F4">
        <w:rPr>
          <w:bCs/>
          <w:lang w:val="hr-HR"/>
        </w:rPr>
        <w:t>Srbije, Boris Ćurković iskustva iz Bosne i Hercegovine, a Maja Jukić iskustva iz Hrvatske. Prezentacije su inspirisale diskusiju o poteškoćama u realizaciji ključnih kompetencija, te razlikama u konceptima ključnih kompetencija, transfrezalnih vještina i metoda aktivnog učenja.</w:t>
      </w:r>
    </w:p>
    <w:p w14:paraId="65A0C79C" w14:textId="01D0D11E" w:rsidR="00A0224C" w:rsidRPr="00611E43" w:rsidRDefault="00CC6B56" w:rsidP="00611E43">
      <w:pPr>
        <w:spacing w:before="100" w:after="100" w:line="276" w:lineRule="auto"/>
        <w:ind w:left="90"/>
        <w:jc w:val="both"/>
        <w:rPr>
          <w:bCs/>
          <w:lang w:val="hr-HR"/>
        </w:rPr>
        <w:sectPr w:rsidR="00A0224C" w:rsidRPr="00611E43" w:rsidSect="00EE64B0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1910" w:h="16840"/>
          <w:pgMar w:top="2835" w:right="907" w:bottom="2155" w:left="907" w:header="709" w:footer="829" w:gutter="0"/>
          <w:cols w:space="708"/>
          <w:docGrid w:linePitch="299"/>
        </w:sectPr>
      </w:pPr>
      <w:r w:rsidRPr="008144F4">
        <w:rPr>
          <w:bCs/>
          <w:lang w:val="hr-HR"/>
        </w:rPr>
        <w:t>Razvoj ključnih kompetencija u Crnoj Gori prezentirale su Zora Bogićević i Sandra Brkanović, koje su se fokusirale na razvoj ključnih kompetencija u stručnom obrazovanju i obrazovanju odraslih, te Nevena Čabrilo koja je prezentirala razvoj ključnih kompetencija u opštem obrazovanju. Istaknuto je da se ključne komptencije razvijaju od 2009. godine, te da su u srednj</w:t>
      </w:r>
      <w:r w:rsidR="00611E43">
        <w:rPr>
          <w:bCs/>
          <w:lang w:val="hr-HR"/>
        </w:rPr>
        <w:t>am</w:t>
      </w:r>
      <w:r w:rsidRPr="008144F4">
        <w:rPr>
          <w:bCs/>
          <w:lang w:val="hr-HR"/>
        </w:rPr>
        <w:t xml:space="preserve"> stručnom obrazovanju u cjelosti ušle u sistem (zakoni, strategije, metodološka uputstva, nastavni planovi i programi). O njima se redovno izvještava u okviru Nacionalnih izvještaja po Zaključcima iz Rige (ključne kompetencije su jedno od pet prioritenih područja </w:t>
      </w:r>
      <w:r w:rsidR="00611E43">
        <w:rPr>
          <w:bCs/>
          <w:lang w:val="hr-HR"/>
        </w:rPr>
        <w:t>Ev</w:t>
      </w:r>
      <w:r w:rsidRPr="008144F4">
        <w:rPr>
          <w:bCs/>
          <w:lang w:val="hr-HR"/>
        </w:rPr>
        <w:t xml:space="preserve">ropskog </w:t>
      </w:r>
      <w:r w:rsidR="00611E43">
        <w:rPr>
          <w:bCs/>
          <w:lang w:val="hr-HR"/>
        </w:rPr>
        <w:t>ko</w:t>
      </w:r>
      <w:r w:rsidRPr="008144F4">
        <w:rPr>
          <w:bCs/>
          <w:lang w:val="hr-HR"/>
        </w:rPr>
        <w:t>penhaškog procesa za period 2015. - 2020, i države izvješ</w:t>
      </w:r>
      <w:r w:rsidR="00611E43">
        <w:rPr>
          <w:bCs/>
          <w:lang w:val="hr-HR"/>
        </w:rPr>
        <w:t>tavaju</w:t>
      </w:r>
      <w:r w:rsidRPr="008144F4">
        <w:rPr>
          <w:bCs/>
          <w:lang w:val="hr-HR"/>
        </w:rPr>
        <w:t xml:space="preserve"> o napretku), a one su u cjelosti integrisane u nove modularne programe srednjeg stručnog</w:t>
      </w:r>
    </w:p>
    <w:p w14:paraId="01E18FEB" w14:textId="6EAC62F8" w:rsidR="00CC6B56" w:rsidRPr="008144F4" w:rsidRDefault="00CC6B56" w:rsidP="00676769">
      <w:p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lastRenderedPageBreak/>
        <w:t>obrazovanja, što je, koristeći konkretne primjere, prezentirala Sandra Brkanović. Nevena Čabrilo je istaknula da su u opštem obrazovanju ključne komptenecije ušle u sistem kroz međupredmetne teme za održivi razvoj (odobrene od strane Nacionalnog savjeta za obrazovanje), te kroz programe razvoja socijalnih i emocionalnih vještina. Međupredmetne teme su postale di</w:t>
      </w:r>
      <w:r w:rsidR="00611E43">
        <w:rPr>
          <w:bCs/>
          <w:lang w:val="hr-HR"/>
        </w:rPr>
        <w:t>o</w:t>
      </w:r>
      <w:r w:rsidRPr="008144F4">
        <w:rPr>
          <w:bCs/>
          <w:lang w:val="hr-HR"/>
        </w:rPr>
        <w:t xml:space="preserve"> predmetnih programa, a u prethodnim godinama su </w:t>
      </w:r>
      <w:r w:rsidR="00611E43">
        <w:rPr>
          <w:bCs/>
          <w:lang w:val="hr-HR"/>
        </w:rPr>
        <w:t>s</w:t>
      </w:r>
      <w:r w:rsidRPr="008144F4">
        <w:rPr>
          <w:bCs/>
          <w:lang w:val="hr-HR"/>
        </w:rPr>
        <w:t>provođene brojne obuke nast</w:t>
      </w:r>
      <w:r w:rsidR="00611E43">
        <w:rPr>
          <w:bCs/>
          <w:lang w:val="hr-HR"/>
        </w:rPr>
        <w:t>a</w:t>
      </w:r>
      <w:r w:rsidRPr="008144F4">
        <w:rPr>
          <w:bCs/>
          <w:lang w:val="hr-HR"/>
        </w:rPr>
        <w:t>vnika.</w:t>
      </w:r>
    </w:p>
    <w:p w14:paraId="59CAE03B" w14:textId="0E37EEFD" w:rsidR="00676769" w:rsidRPr="007E6157" w:rsidRDefault="00676769" w:rsidP="00676769">
      <w:p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>Prv</w:t>
      </w:r>
      <w:r w:rsidR="000837EF">
        <w:rPr>
          <w:bCs/>
          <w:lang w:val="hr-HR"/>
        </w:rPr>
        <w:t>og</w:t>
      </w:r>
      <w:r w:rsidRPr="008144F4">
        <w:rPr>
          <w:bCs/>
          <w:lang w:val="hr-HR"/>
        </w:rPr>
        <w:t xml:space="preserve"> dan</w:t>
      </w:r>
      <w:r w:rsidR="000837EF">
        <w:rPr>
          <w:bCs/>
          <w:lang w:val="hr-HR"/>
        </w:rPr>
        <w:t>a</w:t>
      </w:r>
      <w:r w:rsidRPr="008144F4">
        <w:rPr>
          <w:bCs/>
          <w:lang w:val="hr-HR"/>
        </w:rPr>
        <w:t xml:space="preserve"> je Projektni tim završio s radom u 15.30 sati sumiranjem prezentiranih informacija. Drugi dan je započeo u 9.00 sati sesijom na kojoj je detaljno analiziran EU referentni okvir ključnih kompetencija za cjeloživotno učenje iz 2018. godine. Nakon toga su kroz grupni rad i zajedničku diskusiju članovi Projektnog tima započeli rad na razvoju </w:t>
      </w:r>
      <w:r w:rsidRPr="007E6157">
        <w:rPr>
          <w:bCs/>
          <w:lang w:val="hr-HR"/>
        </w:rPr>
        <w:t>Crnogorskog okvirnog programa ključnih kompetencija.</w:t>
      </w:r>
    </w:p>
    <w:p w14:paraId="282F6CFE" w14:textId="77777777" w:rsidR="005C71D4" w:rsidRDefault="005C71D4" w:rsidP="00676769">
      <w:pPr>
        <w:spacing w:before="100" w:after="100" w:line="276" w:lineRule="auto"/>
        <w:jc w:val="both"/>
        <w:rPr>
          <w:bCs/>
          <w:lang w:val="hr-HR"/>
        </w:rPr>
      </w:pPr>
    </w:p>
    <w:p w14:paraId="5F190827" w14:textId="3E750CDD" w:rsidR="00676769" w:rsidRDefault="00676769" w:rsidP="00676769">
      <w:p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 xml:space="preserve">Doneseni su sljedeći </w:t>
      </w:r>
      <w:r w:rsidRPr="008144F4">
        <w:rPr>
          <w:b/>
          <w:lang w:val="hr-HR"/>
        </w:rPr>
        <w:t>zaključci</w:t>
      </w:r>
      <w:r w:rsidRPr="008144F4">
        <w:rPr>
          <w:bCs/>
          <w:lang w:val="hr-HR"/>
        </w:rPr>
        <w:t>:</w:t>
      </w:r>
    </w:p>
    <w:p w14:paraId="2B7B43CB" w14:textId="77777777" w:rsidR="005C71D4" w:rsidRPr="008144F4" w:rsidRDefault="005C71D4" w:rsidP="00676769">
      <w:pPr>
        <w:spacing w:before="100" w:after="100" w:line="276" w:lineRule="auto"/>
        <w:jc w:val="both"/>
        <w:rPr>
          <w:bCs/>
          <w:lang w:val="hr-HR"/>
        </w:rPr>
      </w:pPr>
    </w:p>
    <w:p w14:paraId="6D4278D0" w14:textId="35EF1FEB" w:rsidR="00676769" w:rsidRPr="008144F4" w:rsidRDefault="00676769" w:rsidP="00676769">
      <w:pPr>
        <w:pStyle w:val="ListParagraph"/>
        <w:numPr>
          <w:ilvl w:val="0"/>
          <w:numId w:val="1"/>
        </w:num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>Crnogorski okvir klju</w:t>
      </w:r>
      <w:r w:rsidR="008144F4" w:rsidRPr="008144F4">
        <w:rPr>
          <w:bCs/>
          <w:lang w:val="hr-HR"/>
        </w:rPr>
        <w:t>č</w:t>
      </w:r>
      <w:r w:rsidRPr="008144F4">
        <w:rPr>
          <w:bCs/>
          <w:lang w:val="hr-HR"/>
        </w:rPr>
        <w:t>nih kompetencija će razvijati na bazi EU referentnog okvira, te će imati osam ključnih kompetencija:</w:t>
      </w:r>
    </w:p>
    <w:p w14:paraId="02FAA50F" w14:textId="7CD15BD6" w:rsidR="00676769" w:rsidRPr="008144F4" w:rsidRDefault="00676769" w:rsidP="008144F4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>Komp</w:t>
      </w:r>
      <w:r w:rsidR="00A67732">
        <w:rPr>
          <w:bCs/>
          <w:lang w:val="hr-HR"/>
        </w:rPr>
        <w:t>e</w:t>
      </w:r>
      <w:r w:rsidRPr="008144F4">
        <w:rPr>
          <w:bCs/>
          <w:lang w:val="hr-HR"/>
        </w:rPr>
        <w:t>tencija pismenost</w:t>
      </w:r>
      <w:r w:rsidR="008144F4" w:rsidRPr="008144F4">
        <w:rPr>
          <w:bCs/>
          <w:lang w:val="hr-HR"/>
        </w:rPr>
        <w:t>i</w:t>
      </w:r>
      <w:r w:rsidRPr="008144F4">
        <w:rPr>
          <w:bCs/>
          <w:lang w:val="hr-HR"/>
        </w:rPr>
        <w:t>,</w:t>
      </w:r>
    </w:p>
    <w:p w14:paraId="649AE785" w14:textId="77777777" w:rsidR="00676769" w:rsidRPr="008144F4" w:rsidRDefault="00676769" w:rsidP="008144F4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>Višejezična komptenecija,</w:t>
      </w:r>
    </w:p>
    <w:p w14:paraId="25B0C691" w14:textId="77777777" w:rsidR="00676769" w:rsidRPr="008144F4" w:rsidRDefault="00676769" w:rsidP="008144F4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>Matematička kompetencija i kompetencija u nauci, tehnologiji i inženjerstvu,</w:t>
      </w:r>
    </w:p>
    <w:p w14:paraId="09BE6CB7" w14:textId="77777777" w:rsidR="00676769" w:rsidRPr="008144F4" w:rsidRDefault="00676769" w:rsidP="008144F4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>Digitalna kompetencija,</w:t>
      </w:r>
    </w:p>
    <w:p w14:paraId="695D5942" w14:textId="77777777" w:rsidR="00676769" w:rsidRPr="008144F4" w:rsidRDefault="00676769" w:rsidP="008144F4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>Lična i socijalna kompetencija te kompetencija učenja kako učiti,</w:t>
      </w:r>
    </w:p>
    <w:p w14:paraId="3D361C55" w14:textId="77777777" w:rsidR="00676769" w:rsidRPr="008144F4" w:rsidRDefault="00676769" w:rsidP="008144F4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>Građanska kompetencija,</w:t>
      </w:r>
    </w:p>
    <w:p w14:paraId="5FE9BD2C" w14:textId="77777777" w:rsidR="00676769" w:rsidRPr="008144F4" w:rsidRDefault="00676769" w:rsidP="008144F4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>Preduzetnička kompetencija,</w:t>
      </w:r>
    </w:p>
    <w:p w14:paraId="71E48378" w14:textId="5535AE56" w:rsidR="00676769" w:rsidRPr="008144F4" w:rsidRDefault="00676769" w:rsidP="008144F4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>Kompetencija kulturne svijesti i izražavanja.</w:t>
      </w:r>
    </w:p>
    <w:p w14:paraId="076E0A63" w14:textId="462BFCC7" w:rsidR="008144F4" w:rsidRPr="008144F4" w:rsidRDefault="008144F4" w:rsidP="008144F4">
      <w:pPr>
        <w:pStyle w:val="ListParagraph"/>
        <w:spacing w:before="100" w:after="100" w:line="276" w:lineRule="auto"/>
        <w:ind w:left="720"/>
        <w:jc w:val="both"/>
        <w:rPr>
          <w:bCs/>
          <w:lang w:val="hr-HR"/>
        </w:rPr>
      </w:pPr>
      <w:r w:rsidRPr="008144F4">
        <w:rPr>
          <w:bCs/>
          <w:lang w:val="hr-HR"/>
        </w:rPr>
        <w:t>Članovi Projektnog tima su razmotrili i potrebu da se uvede i deveta ključna komp</w:t>
      </w:r>
      <w:r>
        <w:rPr>
          <w:bCs/>
          <w:lang w:val="hr-HR"/>
        </w:rPr>
        <w:t>e</w:t>
      </w:r>
      <w:r w:rsidRPr="008144F4">
        <w:rPr>
          <w:bCs/>
          <w:lang w:val="hr-HR"/>
        </w:rPr>
        <w:t>tencija – kompetencija održivog razvoja, uzimajući u obzir značaj održivog razvoja na globalnom i nacionalnom nivou, kao i činjenicu da je kroz međupredmetne teme održivi razvoj već ušao u sistem opšteg obrazovanja. Preovladalo je mišljenje da su sve identifi</w:t>
      </w:r>
      <w:r w:rsidR="00A67732">
        <w:rPr>
          <w:bCs/>
          <w:lang w:val="hr-HR"/>
        </w:rPr>
        <w:t>kov</w:t>
      </w:r>
      <w:r w:rsidRPr="008144F4">
        <w:rPr>
          <w:bCs/>
          <w:lang w:val="hr-HR"/>
        </w:rPr>
        <w:t>ane komp</w:t>
      </w:r>
      <w:r w:rsidR="00A67732">
        <w:rPr>
          <w:bCs/>
          <w:lang w:val="hr-HR"/>
        </w:rPr>
        <w:t>e</w:t>
      </w:r>
      <w:r w:rsidRPr="008144F4">
        <w:rPr>
          <w:bCs/>
          <w:lang w:val="hr-HR"/>
        </w:rPr>
        <w:t xml:space="preserve">tencije u funkciji održivog razvoja, te da su, jednako kao i u EU referentnom okviru, svi elementi održivog razvoja „pokriveni“ kroz utvrđenih osam kompetencija. Konačnu odluku o uvođenju devete ključne kompetencije članovi Projektnog tima će donijeti na idućem sastanku, a do tada će se svi članovi detaljno upoznati s dokumentom Obrazovanje za održivi razvoj – međupredmetna oblast u predmetnim programima – osnovna škola (Nacionalni savjet za obrazovanje, 2014.), kojeg će menadžerka </w:t>
      </w:r>
      <w:r w:rsidR="00A67732">
        <w:rPr>
          <w:bCs/>
          <w:lang w:val="hr-HR"/>
        </w:rPr>
        <w:t>p</w:t>
      </w:r>
      <w:r w:rsidRPr="008144F4">
        <w:rPr>
          <w:bCs/>
          <w:lang w:val="hr-HR"/>
        </w:rPr>
        <w:t>rojektne kancelarije po okončanju sastanka dostaviti svim članovima Projektnog tima.</w:t>
      </w:r>
    </w:p>
    <w:p w14:paraId="7F769A30" w14:textId="32EE2E8D" w:rsidR="00676769" w:rsidRDefault="00150D74" w:rsidP="00676769">
      <w:pPr>
        <w:pStyle w:val="ListParagraph"/>
        <w:numPr>
          <w:ilvl w:val="0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 xml:space="preserve">Crnogorski okvir ključnih kompetencija će biti usvojen i predstavljen dokumentom </w:t>
      </w:r>
      <w:r w:rsidRPr="007E6157">
        <w:rPr>
          <w:b/>
          <w:lang w:val="hr-HR"/>
        </w:rPr>
        <w:t>Crnogorski okvirni program ključnih kompetencija</w:t>
      </w:r>
      <w:r>
        <w:rPr>
          <w:bCs/>
          <w:lang w:val="hr-HR"/>
        </w:rPr>
        <w:t xml:space="preserve"> </w:t>
      </w:r>
      <w:r w:rsidR="007E6157">
        <w:rPr>
          <w:bCs/>
          <w:lang w:val="hr-HR"/>
        </w:rPr>
        <w:t>koji će imati sljedeću strukturu:</w:t>
      </w:r>
    </w:p>
    <w:p w14:paraId="767C9449" w14:textId="66F8EDAB" w:rsidR="007E6157" w:rsidRDefault="007E6157" w:rsidP="007E6157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 w:rsidRPr="007E6157">
        <w:rPr>
          <w:b/>
          <w:lang w:val="hr-HR"/>
        </w:rPr>
        <w:t>Uvodni dio</w:t>
      </w:r>
      <w:r>
        <w:rPr>
          <w:bCs/>
          <w:lang w:val="hr-HR"/>
        </w:rPr>
        <w:t xml:space="preserve"> kojim će se predstaviti okvir, koncept ključnih kompetencija e</w:t>
      </w:r>
      <w:r w:rsidR="008C7404">
        <w:rPr>
          <w:bCs/>
          <w:lang w:val="hr-HR"/>
        </w:rPr>
        <w:t>v</w:t>
      </w:r>
      <w:r>
        <w:rPr>
          <w:bCs/>
          <w:lang w:val="hr-HR"/>
        </w:rPr>
        <w:t>ropski i crnogorski razvoj ključnih kompetencija, ciljevi programa i principi;</w:t>
      </w:r>
    </w:p>
    <w:p w14:paraId="7D75CEB4" w14:textId="134E5549" w:rsidR="007E6157" w:rsidRDefault="007E6157" w:rsidP="007E6157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/>
          <w:lang w:val="hr-HR"/>
        </w:rPr>
        <w:t>Ključne kompetencije</w:t>
      </w:r>
      <w:r>
        <w:rPr>
          <w:bCs/>
          <w:lang w:val="hr-HR"/>
        </w:rPr>
        <w:t xml:space="preserve"> – u ovome poglavlju biće predstavljene svaka od osam ključnih </w:t>
      </w:r>
      <w:r>
        <w:rPr>
          <w:bCs/>
          <w:lang w:val="hr-HR"/>
        </w:rPr>
        <w:lastRenderedPageBreak/>
        <w:t>kompetencija, i za svaku će biti da</w:t>
      </w:r>
      <w:r w:rsidR="008C7404">
        <w:rPr>
          <w:bCs/>
          <w:lang w:val="hr-HR"/>
        </w:rPr>
        <w:t>t</w:t>
      </w:r>
      <w:r>
        <w:rPr>
          <w:bCs/>
          <w:lang w:val="hr-HR"/>
        </w:rPr>
        <w:t>a definicija (u načelu preuzeta iz EU referentnog okvira), te ishodi za kraj svakog od sljedećih obrazovnih nivoa: predškolsko obrazovanje, ISCED 1, ISCED 2, srednje obrazovanje i visoko obrazovanje.</w:t>
      </w:r>
    </w:p>
    <w:p w14:paraId="61505DEB" w14:textId="209AFE07" w:rsidR="007E6157" w:rsidRDefault="007E6157" w:rsidP="007E6157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/>
          <w:lang w:val="hr-HR"/>
        </w:rPr>
        <w:t xml:space="preserve">Implemnetacija </w:t>
      </w:r>
      <w:r>
        <w:rPr>
          <w:bCs/>
          <w:lang w:val="hr-HR"/>
        </w:rPr>
        <w:t>– ovo poglavlje će dati okvirno metode implementacije i smjernice kako će ključne komp</w:t>
      </w:r>
      <w:r w:rsidR="004F4702">
        <w:rPr>
          <w:bCs/>
          <w:lang w:val="hr-HR"/>
        </w:rPr>
        <w:t>e</w:t>
      </w:r>
      <w:r>
        <w:rPr>
          <w:bCs/>
          <w:lang w:val="hr-HR"/>
        </w:rPr>
        <w:t>tencije ući u sisteme formalnog obrazovanja.</w:t>
      </w:r>
    </w:p>
    <w:p w14:paraId="6E6EE592" w14:textId="23752D05" w:rsidR="007E6157" w:rsidRDefault="007E6157" w:rsidP="007E6157">
      <w:pPr>
        <w:pStyle w:val="ListParagraph"/>
        <w:numPr>
          <w:ilvl w:val="0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Načelno se utvrđuju sljedeći ciljevi i principi okvirnog programa:</w:t>
      </w:r>
    </w:p>
    <w:p w14:paraId="614CD7E8" w14:textId="178D55A4" w:rsidR="007E6157" w:rsidRDefault="007E6157" w:rsidP="007E6157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Ciljevi:</w:t>
      </w:r>
    </w:p>
    <w:p w14:paraId="62ADEA5F" w14:textId="65F76C00" w:rsidR="00FB1E37" w:rsidRPr="00FB1E37" w:rsidRDefault="00FB1E37" w:rsidP="00FB1E37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 w:rsidRPr="00FB1E37">
        <w:rPr>
          <w:bCs/>
          <w:lang w:val="hr-HR"/>
        </w:rPr>
        <w:t xml:space="preserve">Povećanje kvaliteta obrazovanja, osposobljavanja i cjeloživotnog učenja kako bi svaki pojedinac mogao u cjelosti </w:t>
      </w:r>
      <w:r w:rsidR="004F4702">
        <w:rPr>
          <w:bCs/>
          <w:lang w:val="hr-HR"/>
        </w:rPr>
        <w:t>učestvovati</w:t>
      </w:r>
      <w:r w:rsidRPr="00FB1E37">
        <w:rPr>
          <w:bCs/>
          <w:lang w:val="hr-HR"/>
        </w:rPr>
        <w:t xml:space="preserve"> u društvu i uspješno se kretati na tržištu rada, te st</w:t>
      </w:r>
      <w:r w:rsidR="004F4702">
        <w:rPr>
          <w:bCs/>
          <w:lang w:val="hr-HR"/>
        </w:rPr>
        <w:t>i</w:t>
      </w:r>
      <w:r w:rsidRPr="00FB1E37">
        <w:rPr>
          <w:bCs/>
          <w:lang w:val="hr-HR"/>
        </w:rPr>
        <w:t xml:space="preserve">cati vještine i kompetencije potrebne za </w:t>
      </w:r>
      <w:r w:rsidR="004F4702">
        <w:rPr>
          <w:bCs/>
          <w:lang w:val="hr-HR"/>
        </w:rPr>
        <w:t>lično</w:t>
      </w:r>
      <w:r w:rsidRPr="00FB1E37">
        <w:rPr>
          <w:bCs/>
          <w:lang w:val="hr-HR"/>
        </w:rPr>
        <w:t xml:space="preserve"> ispunjenje, zdravlje, zapošljivost i socijalnu uključenost;</w:t>
      </w:r>
    </w:p>
    <w:p w14:paraId="45051DBF" w14:textId="355A3EBB" w:rsidR="00FB1E37" w:rsidRPr="00FB1E37" w:rsidRDefault="00FB1E37" w:rsidP="00FB1E37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 w:rsidRPr="00FB1E37">
        <w:rPr>
          <w:bCs/>
          <w:lang w:val="hr-HR"/>
        </w:rPr>
        <w:t>Podržavanje razvoja nastavnog osoblja kao centralnog dijela obrazovnog sistema kako bi bilo spremno istražiti i prim</w:t>
      </w:r>
      <w:r w:rsidR="00C77C6A">
        <w:rPr>
          <w:bCs/>
          <w:lang w:val="hr-HR"/>
        </w:rPr>
        <w:t>i</w:t>
      </w:r>
      <w:r w:rsidRPr="00FB1E37">
        <w:rPr>
          <w:bCs/>
          <w:lang w:val="hr-HR"/>
        </w:rPr>
        <w:t>jeniti nove načine učenja za društvo koje je sve mobilnije i sve se više oslanja na digitalnu tehnologiju;</w:t>
      </w:r>
    </w:p>
    <w:p w14:paraId="29AACE25" w14:textId="1CFF21E1" w:rsidR="00FB1E37" w:rsidRDefault="00FB1E37" w:rsidP="00FB1E37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 w:rsidRPr="00FB1E37">
        <w:rPr>
          <w:bCs/>
          <w:lang w:val="hr-HR"/>
        </w:rPr>
        <w:t xml:space="preserve">Unapređenje obrazovnog sistema Crne Gore i </w:t>
      </w:r>
      <w:r w:rsidR="00C77C6A">
        <w:rPr>
          <w:bCs/>
          <w:lang w:val="hr-HR"/>
        </w:rPr>
        <w:t>korišćenje</w:t>
      </w:r>
      <w:r w:rsidRPr="00FB1E37">
        <w:rPr>
          <w:bCs/>
          <w:lang w:val="hr-HR"/>
        </w:rPr>
        <w:t xml:space="preserve"> punog potencijala obrazovanja kao pokretača otvaranja novih radnih mjesta, postizanja socijalne prav</w:t>
      </w:r>
      <w:r w:rsidR="00C77C6A">
        <w:rPr>
          <w:bCs/>
          <w:lang w:val="hr-HR"/>
        </w:rPr>
        <w:t>de</w:t>
      </w:r>
      <w:r w:rsidRPr="00FB1E37">
        <w:rPr>
          <w:bCs/>
          <w:lang w:val="hr-HR"/>
        </w:rPr>
        <w:t xml:space="preserve"> i aktivnog građanstva;</w:t>
      </w:r>
    </w:p>
    <w:p w14:paraId="1EC49A78" w14:textId="22364178" w:rsidR="00A340EE" w:rsidRDefault="00A340EE" w:rsidP="00FB1E37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Razvijati evrops</w:t>
      </w:r>
      <w:r w:rsidR="00C77C6A">
        <w:rPr>
          <w:bCs/>
          <w:lang w:val="hr-HR"/>
        </w:rPr>
        <w:t>k</w:t>
      </w:r>
      <w:r>
        <w:rPr>
          <w:bCs/>
          <w:lang w:val="hr-HR"/>
        </w:rPr>
        <w:t>u dimenziju obrazovanja, osposobljavanja i cjeloživotnog učenja;</w:t>
      </w:r>
    </w:p>
    <w:p w14:paraId="5542CAEE" w14:textId="086D7241" w:rsidR="00A340EE" w:rsidRDefault="00A340EE" w:rsidP="00A340EE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Principi:</w:t>
      </w:r>
    </w:p>
    <w:p w14:paraId="69C4E4FA" w14:textId="07C29183" w:rsidR="00A340EE" w:rsidRDefault="00A340EE" w:rsidP="00A340EE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Okvir ključnih komptenecija relevantan za obrazovni sistem Crne Gore u cjelosti je zasnovan na EU referentnom okviru ključnih komp</w:t>
      </w:r>
      <w:r w:rsidR="007D1DD5">
        <w:rPr>
          <w:bCs/>
          <w:lang w:val="hr-HR"/>
        </w:rPr>
        <w:t>e</w:t>
      </w:r>
      <w:r>
        <w:rPr>
          <w:bCs/>
          <w:lang w:val="hr-HR"/>
        </w:rPr>
        <w:t>tencija za cjeloživotno učenje i sastoji se od osam ključnih kompetncija prilagođenih specifičnostima obrazovnog sistema Crne Gore;</w:t>
      </w:r>
    </w:p>
    <w:p w14:paraId="243F5749" w14:textId="4E54FE78" w:rsidR="00A340EE" w:rsidRDefault="00A340EE" w:rsidP="00A340EE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Obezb</w:t>
      </w:r>
      <w:r w:rsidR="007D1DD5">
        <w:rPr>
          <w:bCs/>
          <w:lang w:val="hr-HR"/>
        </w:rPr>
        <w:t>i</w:t>
      </w:r>
      <w:r>
        <w:rPr>
          <w:bCs/>
          <w:lang w:val="hr-HR"/>
        </w:rPr>
        <w:t>jediti dostupnost ključnih kompetencija svakom pojedincu;</w:t>
      </w:r>
    </w:p>
    <w:p w14:paraId="38C431AF" w14:textId="034518FA" w:rsidR="00A340EE" w:rsidRDefault="00A340EE" w:rsidP="00A340EE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Uvažiti dosadašnji razvoj kl</w:t>
      </w:r>
      <w:r w:rsidR="00623C13">
        <w:rPr>
          <w:bCs/>
          <w:lang w:val="hr-HR"/>
        </w:rPr>
        <w:t>jučnih kompetencija u obrazovnom sistemu Crne Gore;</w:t>
      </w:r>
    </w:p>
    <w:p w14:paraId="0CDBD27D" w14:textId="286B698E" w:rsidR="00623C13" w:rsidRDefault="00623C13" w:rsidP="00A340EE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Definisati instrumente i procedure za implementaciju;</w:t>
      </w:r>
    </w:p>
    <w:p w14:paraId="3BBD3E53" w14:textId="6C0773DD" w:rsidR="00623C13" w:rsidRDefault="00623C13" w:rsidP="00A340EE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Rukovoditi se principima: svoubuhvatnosti, naučnosti, primjenljivosti, transparentnosti i razumljivosti (preciznost, jasno</w:t>
      </w:r>
      <w:r w:rsidR="007D1DD5">
        <w:rPr>
          <w:bCs/>
          <w:lang w:val="hr-HR"/>
        </w:rPr>
        <w:t>ća</w:t>
      </w:r>
      <w:r>
        <w:rPr>
          <w:bCs/>
          <w:lang w:val="hr-HR"/>
        </w:rPr>
        <w:t>).</w:t>
      </w:r>
    </w:p>
    <w:p w14:paraId="4FA3CA7D" w14:textId="50CD36E7" w:rsidR="00623C13" w:rsidRDefault="00623C13" w:rsidP="00623C13">
      <w:pPr>
        <w:pStyle w:val="ListParagraph"/>
        <w:spacing w:before="100" w:after="100" w:line="276" w:lineRule="auto"/>
        <w:ind w:left="720"/>
        <w:jc w:val="both"/>
        <w:rPr>
          <w:bCs/>
          <w:lang w:val="hr-HR"/>
        </w:rPr>
      </w:pPr>
      <w:r>
        <w:rPr>
          <w:bCs/>
          <w:lang w:val="hr-HR"/>
        </w:rPr>
        <w:t>Na bazi ovako utvrđenih načelnih ciljeva i principa, te iznijetih koncepata i dostignuća prezentiranih na prvom danu radionice</w:t>
      </w:r>
      <w:r w:rsidR="00221334">
        <w:rPr>
          <w:bCs/>
          <w:lang w:val="hr-HR"/>
        </w:rPr>
        <w:t>,</w:t>
      </w:r>
      <w:r>
        <w:rPr>
          <w:bCs/>
          <w:lang w:val="hr-HR"/>
        </w:rPr>
        <w:t xml:space="preserve"> tim </w:t>
      </w:r>
      <w:r w:rsidR="00221334">
        <w:rPr>
          <w:bCs/>
          <w:lang w:val="hr-HR"/>
        </w:rPr>
        <w:t xml:space="preserve">stručnjaka </w:t>
      </w:r>
      <w:r>
        <w:rPr>
          <w:bCs/>
          <w:lang w:val="hr-HR"/>
        </w:rPr>
        <w:t xml:space="preserve">će sačiniti nacrt uvodnog dijela Okvirnog programa, te ga </w:t>
      </w:r>
      <w:r w:rsidR="00221334">
        <w:rPr>
          <w:bCs/>
          <w:lang w:val="hr-HR"/>
        </w:rPr>
        <w:t>podijeliti</w:t>
      </w:r>
      <w:r>
        <w:rPr>
          <w:bCs/>
          <w:lang w:val="hr-HR"/>
        </w:rPr>
        <w:t xml:space="preserve"> </w:t>
      </w:r>
      <w:r w:rsidR="00221334">
        <w:rPr>
          <w:bCs/>
          <w:lang w:val="hr-HR"/>
        </w:rPr>
        <w:t xml:space="preserve">sa </w:t>
      </w:r>
      <w:r>
        <w:rPr>
          <w:bCs/>
          <w:lang w:val="hr-HR"/>
        </w:rPr>
        <w:t xml:space="preserve">članovima Projektnog tima. Na idućem sastanku taj inicijalni </w:t>
      </w:r>
      <w:r w:rsidR="00221334">
        <w:rPr>
          <w:bCs/>
          <w:lang w:val="hr-HR"/>
        </w:rPr>
        <w:t>nacrt</w:t>
      </w:r>
      <w:r>
        <w:rPr>
          <w:bCs/>
          <w:lang w:val="hr-HR"/>
        </w:rPr>
        <w:t xml:space="preserve"> će biti detaljno razmotren.</w:t>
      </w:r>
    </w:p>
    <w:p w14:paraId="1FA3D138" w14:textId="2C2B2FF8" w:rsidR="00623C13" w:rsidRDefault="00623C13" w:rsidP="00623C13">
      <w:pPr>
        <w:pStyle w:val="ListParagraph"/>
        <w:numPr>
          <w:ilvl w:val="0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Svaka od 8 identifi</w:t>
      </w:r>
      <w:r w:rsidR="00221334">
        <w:rPr>
          <w:bCs/>
          <w:lang w:val="hr-HR"/>
        </w:rPr>
        <w:t>kov</w:t>
      </w:r>
      <w:r>
        <w:rPr>
          <w:bCs/>
          <w:lang w:val="hr-HR"/>
        </w:rPr>
        <w:t>anih ključnih kompetencija će u Okvirnom programu biti predstavljena kroz definiciju</w:t>
      </w:r>
      <w:r w:rsidR="005C71D4">
        <w:rPr>
          <w:bCs/>
          <w:lang w:val="hr-HR"/>
        </w:rPr>
        <w:t xml:space="preserve"> (preuzeti iz EU referentnog okvira</w:t>
      </w:r>
      <w:r>
        <w:rPr>
          <w:bCs/>
          <w:lang w:val="hr-HR"/>
        </w:rPr>
        <w:t xml:space="preserve">, </w:t>
      </w:r>
      <w:r w:rsidR="008A3245">
        <w:rPr>
          <w:bCs/>
          <w:lang w:val="hr-HR"/>
        </w:rPr>
        <w:t>odstupiti samo u slučaju značajnih nacionalnih specifičnost</w:t>
      </w:r>
      <w:r w:rsidR="00221334">
        <w:rPr>
          <w:bCs/>
          <w:lang w:val="hr-HR"/>
        </w:rPr>
        <w:t>i</w:t>
      </w:r>
      <w:r w:rsidR="008A3245">
        <w:rPr>
          <w:bCs/>
          <w:lang w:val="hr-HR"/>
        </w:rPr>
        <w:t xml:space="preserve">), </w:t>
      </w:r>
      <w:r>
        <w:rPr>
          <w:bCs/>
          <w:lang w:val="hr-HR"/>
        </w:rPr>
        <w:t>te ishode učenja koje treba definisati krupno (za kraj obrazovnog ciklusa)</w:t>
      </w:r>
      <w:r w:rsidR="005C71D4">
        <w:rPr>
          <w:bCs/>
          <w:lang w:val="hr-HR"/>
        </w:rPr>
        <w:t>,</w:t>
      </w:r>
      <w:r>
        <w:rPr>
          <w:bCs/>
          <w:lang w:val="hr-HR"/>
        </w:rPr>
        <w:t xml:space="preserve"> na bazi opisa znanja, vještina i stavova datih za svaku od kompetencija </w:t>
      </w:r>
      <w:r w:rsidR="005C71D4">
        <w:rPr>
          <w:bCs/>
          <w:lang w:val="hr-HR"/>
        </w:rPr>
        <w:t>iz EU referentnoog okvira. Pri tome treba takođe uzeti u obzir razvijene metodologije za digitalnu kompetenciju, p</w:t>
      </w:r>
      <w:r w:rsidR="00221334">
        <w:rPr>
          <w:bCs/>
          <w:lang w:val="hr-HR"/>
        </w:rPr>
        <w:t>re</w:t>
      </w:r>
      <w:r w:rsidR="005C71D4">
        <w:rPr>
          <w:bCs/>
          <w:lang w:val="hr-HR"/>
        </w:rPr>
        <w:t xml:space="preserve">duzetničko </w:t>
      </w:r>
      <w:r w:rsidR="005C71D4">
        <w:rPr>
          <w:bCs/>
          <w:lang w:val="hr-HR"/>
        </w:rPr>
        <w:lastRenderedPageBreak/>
        <w:t>učenje (za r</w:t>
      </w:r>
      <w:r w:rsidR="00221334">
        <w:rPr>
          <w:bCs/>
          <w:lang w:val="hr-HR"/>
        </w:rPr>
        <w:t>a</w:t>
      </w:r>
      <w:r w:rsidR="005C71D4">
        <w:rPr>
          <w:bCs/>
          <w:lang w:val="hr-HR"/>
        </w:rPr>
        <w:t>zvoj ishoda za p</w:t>
      </w:r>
      <w:r w:rsidR="00221334">
        <w:rPr>
          <w:bCs/>
          <w:lang w:val="hr-HR"/>
        </w:rPr>
        <w:t>re</w:t>
      </w:r>
      <w:r w:rsidR="005C71D4">
        <w:rPr>
          <w:bCs/>
          <w:lang w:val="hr-HR"/>
        </w:rPr>
        <w:t xml:space="preserve">duzetničku kompetenciju), za građansku kompetenciju, te međupredmetnih tema za održivi razvoj (zdravi stilovi života, dijelom i za STEM kompetenciju). </w:t>
      </w:r>
      <w:r w:rsidR="008A3245">
        <w:rPr>
          <w:bCs/>
          <w:lang w:val="hr-HR"/>
        </w:rPr>
        <w:t xml:space="preserve">Prilikom razvoja ishoda učenja treba uzeti u obzir da za svaki nivo budu sadržani ishodi znanja, vještina i stavova, ali ih prezentirati u </w:t>
      </w:r>
      <w:r w:rsidR="002C734B">
        <w:rPr>
          <w:bCs/>
          <w:lang w:val="hr-HR"/>
        </w:rPr>
        <w:t xml:space="preserve">tabeli </w:t>
      </w:r>
      <w:r w:rsidR="008A3245">
        <w:rPr>
          <w:bCs/>
          <w:lang w:val="hr-HR"/>
        </w:rPr>
        <w:t xml:space="preserve">integrativno. Treba imati na umu da će se vrednovanje vršiti isključivo formativno. </w:t>
      </w:r>
      <w:r w:rsidR="005C71D4">
        <w:rPr>
          <w:bCs/>
          <w:lang w:val="hr-HR"/>
        </w:rPr>
        <w:t>Ishodi učenja će se definisati za sljedeće obrazovne nivoe:</w:t>
      </w:r>
    </w:p>
    <w:p w14:paraId="383E9C50" w14:textId="327E2CA5" w:rsidR="005C71D4" w:rsidRDefault="005C71D4" w:rsidP="005C71D4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Predškolsko obrazovanje – za ovaj nivo dati ciljeve, opisno;</w:t>
      </w:r>
    </w:p>
    <w:p w14:paraId="3B19F482" w14:textId="2D838392" w:rsidR="005C71D4" w:rsidRDefault="005C71D4" w:rsidP="005C71D4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ISCED 1 (razredna nastava u osnovnom obrazovanju);</w:t>
      </w:r>
    </w:p>
    <w:p w14:paraId="517B5636" w14:textId="295B3269" w:rsidR="005C71D4" w:rsidRDefault="005C71D4" w:rsidP="005C71D4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ISCED 2 (predmetna nastava u srednjem obrazovanju);</w:t>
      </w:r>
    </w:p>
    <w:p w14:paraId="308BC5B7" w14:textId="2AA9ACBB" w:rsidR="005C71D4" w:rsidRDefault="005C71D4" w:rsidP="005C71D4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Srednje obrazovanje;</w:t>
      </w:r>
    </w:p>
    <w:p w14:paraId="6465112C" w14:textId="0692576A" w:rsidR="005C71D4" w:rsidRDefault="005C71D4" w:rsidP="005C71D4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Visoko obrazovanje – za ovaj nivo dati opisno.</w:t>
      </w:r>
    </w:p>
    <w:p w14:paraId="3730399A" w14:textId="450735EB" w:rsidR="005C71D4" w:rsidRDefault="005C71D4" w:rsidP="005C71D4">
      <w:pPr>
        <w:pStyle w:val="ListParagraph"/>
        <w:spacing w:before="100" w:after="100" w:line="276" w:lineRule="auto"/>
        <w:ind w:left="720"/>
        <w:jc w:val="both"/>
        <w:rPr>
          <w:bCs/>
          <w:lang w:val="hr-HR"/>
        </w:rPr>
      </w:pPr>
      <w:r>
        <w:rPr>
          <w:bCs/>
          <w:lang w:val="hr-HR"/>
        </w:rPr>
        <w:t>Osim definicije i ishoda učenja, potrebno je dati i didaktičke preporuke za realizaciju kompetencije u nastavi.</w:t>
      </w:r>
    </w:p>
    <w:p w14:paraId="40AC58CE" w14:textId="096B805F" w:rsidR="005C71D4" w:rsidRDefault="005C71D4" w:rsidP="005C71D4">
      <w:pPr>
        <w:pStyle w:val="ListParagraph"/>
        <w:spacing w:before="100" w:after="100" w:line="276" w:lineRule="auto"/>
        <w:ind w:left="720"/>
        <w:jc w:val="both"/>
        <w:rPr>
          <w:bCs/>
          <w:lang w:val="hr-HR"/>
        </w:rPr>
      </w:pPr>
      <w:r>
        <w:rPr>
          <w:bCs/>
          <w:lang w:val="hr-HR"/>
        </w:rPr>
        <w:t>Svaka od kompetencija biće predstavljena u sljedećoj tabeli: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75"/>
        <w:gridCol w:w="5591"/>
      </w:tblGrid>
      <w:tr w:rsidR="005C71D4" w14:paraId="30C55F1C" w14:textId="77777777" w:rsidTr="008A3245">
        <w:tc>
          <w:tcPr>
            <w:tcW w:w="3775" w:type="dxa"/>
            <w:tcBorders>
              <w:bottom w:val="thinThickSmallGap" w:sz="24" w:space="0" w:color="000000"/>
            </w:tcBorders>
          </w:tcPr>
          <w:p w14:paraId="78D86D95" w14:textId="0FC78EA3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Naziv kompetencije</w:t>
            </w:r>
          </w:p>
        </w:tc>
        <w:tc>
          <w:tcPr>
            <w:tcW w:w="5591" w:type="dxa"/>
            <w:tcBorders>
              <w:bottom w:val="thinThickSmallGap" w:sz="24" w:space="0" w:color="000000"/>
            </w:tcBorders>
          </w:tcPr>
          <w:p w14:paraId="21F0DFC5" w14:textId="77777777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</w:p>
        </w:tc>
      </w:tr>
      <w:tr w:rsidR="005C71D4" w14:paraId="69839EB5" w14:textId="77777777" w:rsidTr="008A3245">
        <w:tc>
          <w:tcPr>
            <w:tcW w:w="3775" w:type="dxa"/>
            <w:tcBorders>
              <w:top w:val="thinThickSmallGap" w:sz="24" w:space="0" w:color="000000"/>
              <w:bottom w:val="thinThickSmallGap" w:sz="24" w:space="0" w:color="auto"/>
            </w:tcBorders>
          </w:tcPr>
          <w:p w14:paraId="1EDE8725" w14:textId="6E5C40FB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Definicija</w:t>
            </w:r>
          </w:p>
        </w:tc>
        <w:tc>
          <w:tcPr>
            <w:tcW w:w="5591" w:type="dxa"/>
            <w:tcBorders>
              <w:top w:val="thinThickSmallGap" w:sz="24" w:space="0" w:color="000000"/>
              <w:bottom w:val="thinThickSmallGap" w:sz="24" w:space="0" w:color="auto"/>
            </w:tcBorders>
          </w:tcPr>
          <w:p w14:paraId="59F36557" w14:textId="77777777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</w:p>
        </w:tc>
      </w:tr>
      <w:tr w:rsidR="005C71D4" w14:paraId="27851DC2" w14:textId="77777777" w:rsidTr="008A3245">
        <w:tc>
          <w:tcPr>
            <w:tcW w:w="3775" w:type="dxa"/>
            <w:tcBorders>
              <w:top w:val="thinThickSmallGap" w:sz="24" w:space="0" w:color="auto"/>
            </w:tcBorders>
          </w:tcPr>
          <w:p w14:paraId="796C795D" w14:textId="32A76AB3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Ciljevi za predškolsko obrazovanje:</w:t>
            </w:r>
          </w:p>
        </w:tc>
        <w:tc>
          <w:tcPr>
            <w:tcW w:w="5591" w:type="dxa"/>
            <w:tcBorders>
              <w:top w:val="thinThickSmallGap" w:sz="24" w:space="0" w:color="auto"/>
            </w:tcBorders>
          </w:tcPr>
          <w:p w14:paraId="5178EF67" w14:textId="77777777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</w:p>
        </w:tc>
      </w:tr>
      <w:tr w:rsidR="005C71D4" w14:paraId="3E369CF2" w14:textId="77777777" w:rsidTr="005C71D4">
        <w:tc>
          <w:tcPr>
            <w:tcW w:w="3775" w:type="dxa"/>
          </w:tcPr>
          <w:p w14:paraId="38D35F10" w14:textId="450D0C49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Ishodi za ISCED 1</w:t>
            </w:r>
          </w:p>
        </w:tc>
        <w:tc>
          <w:tcPr>
            <w:tcW w:w="5591" w:type="dxa"/>
          </w:tcPr>
          <w:p w14:paraId="1FF2BC82" w14:textId="77777777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</w:p>
        </w:tc>
      </w:tr>
      <w:tr w:rsidR="005C71D4" w14:paraId="12B16DC8" w14:textId="77777777" w:rsidTr="005C71D4">
        <w:tc>
          <w:tcPr>
            <w:tcW w:w="3775" w:type="dxa"/>
          </w:tcPr>
          <w:p w14:paraId="502FC1F6" w14:textId="170C1FAC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Ishodi za ISCED 2</w:t>
            </w:r>
          </w:p>
        </w:tc>
        <w:tc>
          <w:tcPr>
            <w:tcW w:w="5591" w:type="dxa"/>
          </w:tcPr>
          <w:p w14:paraId="5330D03C" w14:textId="77777777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</w:p>
        </w:tc>
      </w:tr>
      <w:tr w:rsidR="005C71D4" w14:paraId="6A664A69" w14:textId="77777777" w:rsidTr="005C71D4">
        <w:tc>
          <w:tcPr>
            <w:tcW w:w="3775" w:type="dxa"/>
          </w:tcPr>
          <w:p w14:paraId="3BCD5F48" w14:textId="670ECCE7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Ishodi za srednje obrazovanje</w:t>
            </w:r>
          </w:p>
        </w:tc>
        <w:tc>
          <w:tcPr>
            <w:tcW w:w="5591" w:type="dxa"/>
          </w:tcPr>
          <w:p w14:paraId="50CD2DE3" w14:textId="77777777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</w:p>
        </w:tc>
      </w:tr>
      <w:tr w:rsidR="005C71D4" w14:paraId="4BAF23D4" w14:textId="77777777" w:rsidTr="008A3245">
        <w:tc>
          <w:tcPr>
            <w:tcW w:w="3775" w:type="dxa"/>
            <w:tcBorders>
              <w:bottom w:val="thinThickSmallGap" w:sz="24" w:space="0" w:color="auto"/>
            </w:tcBorders>
          </w:tcPr>
          <w:p w14:paraId="71417C07" w14:textId="434D29A5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Ciljevi za visoko obrazovanje</w:t>
            </w:r>
          </w:p>
        </w:tc>
        <w:tc>
          <w:tcPr>
            <w:tcW w:w="5591" w:type="dxa"/>
            <w:tcBorders>
              <w:bottom w:val="thinThickSmallGap" w:sz="24" w:space="0" w:color="auto"/>
            </w:tcBorders>
          </w:tcPr>
          <w:p w14:paraId="7840093B" w14:textId="77777777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</w:p>
        </w:tc>
      </w:tr>
      <w:tr w:rsidR="005C71D4" w14:paraId="0835A025" w14:textId="77777777" w:rsidTr="008A3245">
        <w:tc>
          <w:tcPr>
            <w:tcW w:w="3775" w:type="dxa"/>
            <w:tcBorders>
              <w:top w:val="thinThickSmallGap" w:sz="24" w:space="0" w:color="auto"/>
            </w:tcBorders>
          </w:tcPr>
          <w:p w14:paraId="18FE5E8D" w14:textId="185FB133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Didaktičke preporuke i smjernice:</w:t>
            </w:r>
          </w:p>
        </w:tc>
        <w:tc>
          <w:tcPr>
            <w:tcW w:w="5591" w:type="dxa"/>
            <w:tcBorders>
              <w:top w:val="thinThickSmallGap" w:sz="24" w:space="0" w:color="auto"/>
            </w:tcBorders>
          </w:tcPr>
          <w:p w14:paraId="717DF53A" w14:textId="77777777" w:rsidR="005C71D4" w:rsidRDefault="005C71D4" w:rsidP="005C71D4">
            <w:pPr>
              <w:pStyle w:val="ListParagraph"/>
              <w:spacing w:before="100" w:after="100" w:line="276" w:lineRule="auto"/>
              <w:jc w:val="both"/>
              <w:rPr>
                <w:bCs/>
                <w:lang w:val="hr-HR"/>
              </w:rPr>
            </w:pPr>
          </w:p>
        </w:tc>
      </w:tr>
    </w:tbl>
    <w:p w14:paraId="07DADCFE" w14:textId="77777777" w:rsidR="005C71D4" w:rsidRDefault="005C71D4" w:rsidP="005C71D4">
      <w:pPr>
        <w:pStyle w:val="ListParagraph"/>
        <w:spacing w:before="100" w:after="100" w:line="276" w:lineRule="auto"/>
        <w:ind w:left="720"/>
        <w:jc w:val="both"/>
        <w:rPr>
          <w:bCs/>
          <w:lang w:val="hr-HR"/>
        </w:rPr>
      </w:pPr>
    </w:p>
    <w:p w14:paraId="1C2D07D6" w14:textId="5FB321BC" w:rsidR="005C71D4" w:rsidRDefault="004E114A" w:rsidP="005C71D4">
      <w:pPr>
        <w:pStyle w:val="ListParagraph"/>
        <w:numPr>
          <w:ilvl w:val="0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Ciljeve i ishode učinja po obrazovnim nivoima za svaku od 8 ključnih kompetencija će izraditi radne grupe, i to ukupno 4 radne grupe – po jedna za dvije kompetencije. Nominaciju članova radnih grupa obavit će nadležne institucije, a njihova struktura se utvrđuje kako slijedi:</w:t>
      </w:r>
    </w:p>
    <w:p w14:paraId="76220CF3" w14:textId="5863591F" w:rsidR="004E114A" w:rsidRPr="004E114A" w:rsidRDefault="004E114A" w:rsidP="004E114A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/>
          <w:lang w:val="hr-HR"/>
        </w:rPr>
      </w:pPr>
      <w:r w:rsidRPr="004E114A">
        <w:rPr>
          <w:b/>
          <w:lang w:val="hr-HR"/>
        </w:rPr>
        <w:t>Radna grupa za kompetenciju pismenosti i višejezičnu kompetenciju:</w:t>
      </w:r>
    </w:p>
    <w:p w14:paraId="765EE75B" w14:textId="2A936E4D" w:rsidR="004E114A" w:rsidRDefault="004E114A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Zavoda za školstvo za crnogorski jezik,</w:t>
      </w:r>
    </w:p>
    <w:p w14:paraId="4E1305B9" w14:textId="6991B3A8" w:rsidR="004E114A" w:rsidRDefault="004E114A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Zavoda za školstvo za engleski jezik,</w:t>
      </w:r>
    </w:p>
    <w:p w14:paraId="15A61478" w14:textId="428691E3" w:rsidR="004E114A" w:rsidRDefault="004E114A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Ispitnog centra za crnogorski jezik,</w:t>
      </w:r>
    </w:p>
    <w:p w14:paraId="024A4ACE" w14:textId="1E3B3903" w:rsidR="004E114A" w:rsidRDefault="004E114A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Ispitnog centra za engleski jezik,</w:t>
      </w:r>
    </w:p>
    <w:p w14:paraId="6106DEF0" w14:textId="22491976" w:rsidR="004E114A" w:rsidRDefault="00512763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</w:t>
      </w:r>
      <w:r w:rsidR="004E114A">
        <w:rPr>
          <w:bCs/>
          <w:lang w:val="hr-HR"/>
        </w:rPr>
        <w:t xml:space="preserve"> Filozofskog fakulteta (odsjek razredna nastava ili pedagogija),</w:t>
      </w:r>
    </w:p>
    <w:p w14:paraId="6B02EA3D" w14:textId="0053BFDC" w:rsidR="004E114A" w:rsidRDefault="00512763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 xml:space="preserve">Nastavnik </w:t>
      </w:r>
      <w:r w:rsidR="004E114A">
        <w:rPr>
          <w:bCs/>
          <w:lang w:val="hr-HR"/>
        </w:rPr>
        <w:t>Filološkog fakulteta (odsjek crnogorski jezik),</w:t>
      </w:r>
    </w:p>
    <w:p w14:paraId="7534F550" w14:textId="3BE45398" w:rsidR="004E114A" w:rsidRDefault="00512763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lastRenderedPageBreak/>
        <w:t>Nastavnik</w:t>
      </w:r>
      <w:r w:rsidR="004E114A">
        <w:rPr>
          <w:bCs/>
          <w:lang w:val="hr-HR"/>
        </w:rPr>
        <w:t xml:space="preserve"> Filološkog fakulteta (jedan od odsjeka za strani jezik),</w:t>
      </w:r>
    </w:p>
    <w:p w14:paraId="3245E894" w14:textId="108092BE" w:rsidR="004E114A" w:rsidRDefault="004E114A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razredne nastave iz osnovne škole – nominacija Zavoda za školstvo,</w:t>
      </w:r>
    </w:p>
    <w:p w14:paraId="3FA24321" w14:textId="5E0AB36F" w:rsidR="004E114A" w:rsidRDefault="004E114A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 xml:space="preserve">Nastavnik predmetne nastave </w:t>
      </w:r>
      <w:r w:rsidR="00512763">
        <w:rPr>
          <w:bCs/>
          <w:lang w:val="hr-HR"/>
        </w:rPr>
        <w:t xml:space="preserve">iz osnovne škole </w:t>
      </w:r>
      <w:r>
        <w:rPr>
          <w:bCs/>
          <w:lang w:val="hr-HR"/>
        </w:rPr>
        <w:t>– engleski jezik – nominacija Zavoda za školstvo,</w:t>
      </w:r>
    </w:p>
    <w:p w14:paraId="43C0B102" w14:textId="00175C2A" w:rsidR="004E114A" w:rsidRDefault="004E114A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gimnazije – crnogorski jezik – nominacija Zavoda za školstvo,</w:t>
      </w:r>
    </w:p>
    <w:p w14:paraId="1B37748D" w14:textId="18908FF5" w:rsidR="004E114A" w:rsidRDefault="004E114A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 xml:space="preserve">Nastavnik srednje stručne škole – engleski jezik– </w:t>
      </w:r>
      <w:r w:rsidR="00693A32" w:rsidRPr="00693A32">
        <w:rPr>
          <w:bCs/>
          <w:lang w:val="hr-HR"/>
        </w:rPr>
        <w:t>nominacija Centra za stručno obrazovanje</w:t>
      </w:r>
      <w:r>
        <w:rPr>
          <w:bCs/>
          <w:lang w:val="hr-HR"/>
        </w:rPr>
        <w:t>.</w:t>
      </w:r>
    </w:p>
    <w:p w14:paraId="0C56E055" w14:textId="185F9D1D" w:rsidR="004E114A" w:rsidRPr="004E114A" w:rsidRDefault="004E114A" w:rsidP="004E114A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/>
          <w:lang w:val="hr-HR"/>
        </w:rPr>
      </w:pPr>
      <w:r w:rsidRPr="004E114A">
        <w:rPr>
          <w:b/>
          <w:lang w:val="hr-HR"/>
        </w:rPr>
        <w:t>Radna grupa za matematičk</w:t>
      </w:r>
      <w:r w:rsidR="00512763">
        <w:rPr>
          <w:b/>
          <w:lang w:val="hr-HR"/>
        </w:rPr>
        <w:t>u</w:t>
      </w:r>
      <w:r w:rsidRPr="004E114A">
        <w:rPr>
          <w:b/>
          <w:lang w:val="hr-HR"/>
        </w:rPr>
        <w:t xml:space="preserve"> kompetencija, kompetencija u nauci, tehnologiji i inženjerstvu, te digitalnu kompetenciju:</w:t>
      </w:r>
    </w:p>
    <w:p w14:paraId="5D6A8BCF" w14:textId="4EF81618" w:rsidR="004E114A" w:rsidRDefault="00512763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</w:t>
      </w:r>
      <w:r w:rsidR="0035605D">
        <w:rPr>
          <w:bCs/>
          <w:lang w:val="hr-HR"/>
        </w:rPr>
        <w:t>k</w:t>
      </w:r>
      <w:r>
        <w:rPr>
          <w:bCs/>
          <w:lang w:val="hr-HR"/>
        </w:rPr>
        <w:t xml:space="preserve"> Zavoda za školstvo za hemiju,</w:t>
      </w:r>
    </w:p>
    <w:p w14:paraId="1AA9B043" w14:textId="10D94CBB" w:rsidR="00512763" w:rsidRDefault="00512763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zavoda za školstvo za fiziku,</w:t>
      </w:r>
    </w:p>
    <w:p w14:paraId="7B614E70" w14:textId="11DDDDA7" w:rsidR="00695CD8" w:rsidRDefault="00695CD8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zavoda za školstvo za biologiju,</w:t>
      </w:r>
    </w:p>
    <w:p w14:paraId="3F8B4463" w14:textId="77D21956" w:rsidR="00512763" w:rsidRDefault="00512763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Ispitnog centra za matematiku,</w:t>
      </w:r>
    </w:p>
    <w:p w14:paraId="5222ED34" w14:textId="33259F5C" w:rsidR="00512763" w:rsidRDefault="00512763" w:rsidP="004E114A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</w:t>
      </w:r>
      <w:r w:rsidR="00B31CC9">
        <w:rPr>
          <w:bCs/>
          <w:lang w:val="hr-HR"/>
        </w:rPr>
        <w:t>v</w:t>
      </w:r>
      <w:r>
        <w:rPr>
          <w:bCs/>
          <w:lang w:val="hr-HR"/>
        </w:rPr>
        <w:t>jetnik u Centru za stručno obrazovanje (inženjering),</w:t>
      </w:r>
    </w:p>
    <w:p w14:paraId="608EBDE5" w14:textId="760C78E0" w:rsidR="00512763" w:rsidRDefault="00512763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Prirodno-matematičkog fakulteta (matematika),</w:t>
      </w:r>
    </w:p>
    <w:p w14:paraId="2C38EDE5" w14:textId="4DF666F8" w:rsidR="00CC6B56" w:rsidRDefault="00512763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 w:rsidRPr="00512763">
        <w:rPr>
          <w:bCs/>
          <w:lang w:val="hr-HR"/>
        </w:rPr>
        <w:t>Nastavnik Prirodno-matematičkog fakulteta (</w:t>
      </w:r>
      <w:r>
        <w:rPr>
          <w:bCs/>
          <w:lang w:val="hr-HR"/>
        </w:rPr>
        <w:t>fizika</w:t>
      </w:r>
      <w:r w:rsidRPr="00512763">
        <w:rPr>
          <w:bCs/>
          <w:lang w:val="hr-HR"/>
        </w:rPr>
        <w:t>)</w:t>
      </w:r>
      <w:r>
        <w:rPr>
          <w:bCs/>
          <w:lang w:val="hr-HR"/>
        </w:rPr>
        <w:t>,</w:t>
      </w:r>
    </w:p>
    <w:p w14:paraId="00D90546" w14:textId="5992B1B0" w:rsidR="00512763" w:rsidRDefault="00512763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Filozofskog fakulteta (odjske za predškolski odgoj i obrazovanje),</w:t>
      </w:r>
    </w:p>
    <w:p w14:paraId="70514DE0" w14:textId="77777777" w:rsidR="00512763" w:rsidRDefault="00512763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razredne nastave iz osnovne škole – nominacija Zavoda za školstvo,</w:t>
      </w:r>
    </w:p>
    <w:p w14:paraId="7A25804F" w14:textId="4205B765" w:rsidR="00512763" w:rsidRDefault="00512763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predmetne nastave iz osnovne škole – informatika – nominacija Zavoda za školstvo,</w:t>
      </w:r>
    </w:p>
    <w:p w14:paraId="317F82C5" w14:textId="59351899" w:rsidR="00512763" w:rsidRDefault="00512763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predmetne nastave iz osnovne škole – biologija – nominacija Zavoda za školstvo,</w:t>
      </w:r>
    </w:p>
    <w:p w14:paraId="53C7E125" w14:textId="7001F662" w:rsidR="00512763" w:rsidRDefault="00512763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gimnazije – nominacija Zavoda za školstvo,</w:t>
      </w:r>
    </w:p>
    <w:p w14:paraId="66719790" w14:textId="271B3109" w:rsidR="00512763" w:rsidRDefault="00512763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 w:rsidRPr="00512763">
        <w:rPr>
          <w:bCs/>
          <w:lang w:val="hr-HR"/>
        </w:rPr>
        <w:t xml:space="preserve">Nastavnik srednje stručne škole – </w:t>
      </w:r>
      <w:r>
        <w:rPr>
          <w:bCs/>
          <w:lang w:val="hr-HR"/>
        </w:rPr>
        <w:t xml:space="preserve">stručni predmeti – inženjerstvo </w:t>
      </w:r>
      <w:r w:rsidRPr="00512763">
        <w:rPr>
          <w:bCs/>
          <w:lang w:val="hr-HR"/>
        </w:rPr>
        <w:t xml:space="preserve">– nominacija </w:t>
      </w:r>
      <w:r>
        <w:rPr>
          <w:bCs/>
          <w:lang w:val="hr-HR"/>
        </w:rPr>
        <w:t>Centra za stručno obrazovanje</w:t>
      </w:r>
      <w:r w:rsidRPr="00512763">
        <w:rPr>
          <w:bCs/>
          <w:lang w:val="hr-HR"/>
        </w:rPr>
        <w:t>.</w:t>
      </w:r>
    </w:p>
    <w:p w14:paraId="5934F565" w14:textId="22903BB3" w:rsidR="00512763" w:rsidRPr="00512763" w:rsidRDefault="00512763" w:rsidP="00512763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/>
          <w:lang w:val="hr-HR"/>
        </w:rPr>
      </w:pPr>
      <w:r w:rsidRPr="00512763">
        <w:rPr>
          <w:b/>
          <w:lang w:val="hr-HR"/>
        </w:rPr>
        <w:t>Radna grupa za preduzetničku kompetenciju, i ličnu i socijalnu kompetencija te kompetenciju učenja kako učiti:</w:t>
      </w:r>
    </w:p>
    <w:p w14:paraId="0EAB44FF" w14:textId="77777777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Ministarstvo prosvjete</w:t>
      </w:r>
    </w:p>
    <w:p w14:paraId="07A8B03E" w14:textId="1F189F7D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Zavoda za školstvo (socijalne i emocionalne vještine),</w:t>
      </w:r>
    </w:p>
    <w:p w14:paraId="6D7DEA53" w14:textId="00DFE60C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Zavoda za školstvo (razvoj kurikuluma),</w:t>
      </w:r>
    </w:p>
    <w:p w14:paraId="5940B061" w14:textId="28890DD6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Zavoda za školstvo (poduzetničko učenje),</w:t>
      </w:r>
    </w:p>
    <w:p w14:paraId="124F18F3" w14:textId="2CE49C6B" w:rsidR="00512763" w:rsidRDefault="0035605D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Centra za stručno obrazovanje (preduzetničko učenje),</w:t>
      </w:r>
    </w:p>
    <w:p w14:paraId="59517366" w14:textId="3D32ECF7" w:rsidR="0035605D" w:rsidRDefault="0035605D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Filozofskog fakulteta (psihologija, karijerna orijentacija),</w:t>
      </w:r>
    </w:p>
    <w:p w14:paraId="65B9A734" w14:textId="2EAA9304" w:rsidR="0035605D" w:rsidRDefault="0035605D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predmetne nastave iz osnovne škole –</w:t>
      </w:r>
      <w:r w:rsidR="00BA0396">
        <w:rPr>
          <w:bCs/>
          <w:lang w:val="hr-HR"/>
        </w:rPr>
        <w:t xml:space="preserve"> </w:t>
      </w:r>
      <w:r>
        <w:rPr>
          <w:bCs/>
          <w:lang w:val="hr-HR"/>
        </w:rPr>
        <w:t>nominacija Zavoda za školstvo,</w:t>
      </w:r>
    </w:p>
    <w:p w14:paraId="6E4759CD" w14:textId="77777777" w:rsidR="0035605D" w:rsidRDefault="0035605D" w:rsidP="00512763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 w:rsidRPr="00512763">
        <w:rPr>
          <w:bCs/>
          <w:lang w:val="hr-HR"/>
        </w:rPr>
        <w:t xml:space="preserve">Nastavnik srednje stručne škole – </w:t>
      </w:r>
      <w:r>
        <w:rPr>
          <w:bCs/>
          <w:lang w:val="hr-HR"/>
        </w:rPr>
        <w:t xml:space="preserve">stručni predmeti – </w:t>
      </w:r>
      <w:r w:rsidRPr="00512763">
        <w:rPr>
          <w:bCs/>
          <w:lang w:val="hr-HR"/>
        </w:rPr>
        <w:t xml:space="preserve">nominacija </w:t>
      </w:r>
      <w:r>
        <w:rPr>
          <w:bCs/>
          <w:lang w:val="hr-HR"/>
        </w:rPr>
        <w:t xml:space="preserve">Centra za </w:t>
      </w:r>
      <w:r>
        <w:rPr>
          <w:bCs/>
          <w:lang w:val="hr-HR"/>
        </w:rPr>
        <w:lastRenderedPageBreak/>
        <w:t>stručno obrazovanje,</w:t>
      </w:r>
    </w:p>
    <w:p w14:paraId="42E5EA24" w14:textId="45B2C741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 xml:space="preserve"> </w:t>
      </w:r>
      <w:r w:rsidRPr="00512763">
        <w:rPr>
          <w:bCs/>
          <w:lang w:val="hr-HR"/>
        </w:rPr>
        <w:t xml:space="preserve">Nastavnik srednje stručne škole – </w:t>
      </w:r>
      <w:r>
        <w:rPr>
          <w:bCs/>
          <w:lang w:val="hr-HR"/>
        </w:rPr>
        <w:t xml:space="preserve">opšteobrazovni predmeti – </w:t>
      </w:r>
      <w:r w:rsidRPr="00512763">
        <w:rPr>
          <w:bCs/>
          <w:lang w:val="hr-HR"/>
        </w:rPr>
        <w:t xml:space="preserve">nominacija </w:t>
      </w:r>
      <w:r>
        <w:rPr>
          <w:bCs/>
          <w:lang w:val="hr-HR"/>
        </w:rPr>
        <w:t>Zavoda za školstvo.</w:t>
      </w:r>
    </w:p>
    <w:p w14:paraId="7692DF4D" w14:textId="6DFC45C0" w:rsidR="0035605D" w:rsidRPr="0035605D" w:rsidRDefault="0035605D" w:rsidP="0035605D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/>
          <w:lang w:val="hr-HR"/>
        </w:rPr>
      </w:pPr>
      <w:r w:rsidRPr="0035605D">
        <w:rPr>
          <w:b/>
          <w:lang w:val="hr-HR"/>
        </w:rPr>
        <w:t>Radna grupa za građansku kompetenciju i kompetenciju kulturne svijesti i izražavanja:</w:t>
      </w:r>
    </w:p>
    <w:p w14:paraId="020CDB61" w14:textId="31E48DF9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Zavoda za školstvo (građanski odgoj),</w:t>
      </w:r>
    </w:p>
    <w:p w14:paraId="1FF0A4E8" w14:textId="67EA32AB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Savjetnik Zavoda za školstvo za muzički odgoj,</w:t>
      </w:r>
    </w:p>
    <w:p w14:paraId="1EA6C588" w14:textId="0D8AF886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Filozofskog fakulteta (odsjek razredna nastava),</w:t>
      </w:r>
    </w:p>
    <w:p w14:paraId="276CEF25" w14:textId="7C290C37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razredne nastave iz osnovne škole – nominacija Zavoda za školstvo,</w:t>
      </w:r>
    </w:p>
    <w:p w14:paraId="64D91F52" w14:textId="3DC4BEF5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predmetne nastave iz osnovne škole – nominacija Zavoda za školstvo,</w:t>
      </w:r>
    </w:p>
    <w:p w14:paraId="3FDE9100" w14:textId="555BCD40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srednje stručne škole – opšteobrazovni predmeti – nominacija Zavoda za školstvo,</w:t>
      </w:r>
    </w:p>
    <w:p w14:paraId="3DDDFC13" w14:textId="03ED5CF4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gimnazije – nominacija Zavoda za školstvo,</w:t>
      </w:r>
    </w:p>
    <w:p w14:paraId="4413A2EE" w14:textId="5422AEA7" w:rsidR="00AE73FA" w:rsidRDefault="00AE73FA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 w:rsidRPr="00AE73FA">
        <w:rPr>
          <w:bCs/>
          <w:lang w:val="hr-HR"/>
        </w:rPr>
        <w:t xml:space="preserve">Nastavnik srednje stručne škole – stručni moduli iz oblasti sociologije ili filozofije </w:t>
      </w:r>
      <w:r>
        <w:rPr>
          <w:bCs/>
          <w:lang w:val="hr-HR"/>
        </w:rPr>
        <w:t>–</w:t>
      </w:r>
      <w:r w:rsidRPr="00AE73FA">
        <w:rPr>
          <w:bCs/>
          <w:lang w:val="hr-HR"/>
        </w:rPr>
        <w:t xml:space="preserve"> nominacija</w:t>
      </w:r>
      <w:r>
        <w:rPr>
          <w:bCs/>
          <w:lang w:val="hr-HR"/>
        </w:rPr>
        <w:t xml:space="preserve"> </w:t>
      </w:r>
      <w:r w:rsidRPr="00AE73FA">
        <w:rPr>
          <w:bCs/>
          <w:lang w:val="hr-HR"/>
        </w:rPr>
        <w:t>Centra za stručno obrazovanje</w:t>
      </w:r>
      <w:r>
        <w:rPr>
          <w:bCs/>
          <w:lang w:val="hr-HR"/>
        </w:rPr>
        <w:t>,</w:t>
      </w:r>
    </w:p>
    <w:p w14:paraId="4352E5EB" w14:textId="16AAA04F" w:rsidR="0035605D" w:rsidRDefault="0035605D" w:rsidP="0035605D">
      <w:pPr>
        <w:pStyle w:val="ListParagraph"/>
        <w:numPr>
          <w:ilvl w:val="2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Nastavnik srednje umjetničke škole – nominacija Centra za stručno obrazovanje.</w:t>
      </w:r>
    </w:p>
    <w:p w14:paraId="452A1CE3" w14:textId="781B87F4" w:rsidR="00764055" w:rsidRPr="00764055" w:rsidRDefault="00764055" w:rsidP="00764055">
      <w:pPr>
        <w:pStyle w:val="ListParagraph"/>
        <w:spacing w:before="100" w:after="100" w:line="276" w:lineRule="auto"/>
        <w:ind w:left="720"/>
        <w:jc w:val="both"/>
        <w:rPr>
          <w:bCs/>
          <w:lang w:val="hr-HR"/>
        </w:rPr>
      </w:pPr>
      <w:r>
        <w:rPr>
          <w:bCs/>
          <w:lang w:val="hr-HR"/>
        </w:rPr>
        <w:t xml:space="preserve">Zahtjev za nominaciju članova radnih grupa poslaće Projektna kancelarija naznačenim institucijama. </w:t>
      </w:r>
      <w:r w:rsidRPr="00764055">
        <w:rPr>
          <w:bCs/>
          <w:lang w:val="hr-HR"/>
        </w:rPr>
        <w:t xml:space="preserve">Utvrđuje se </w:t>
      </w:r>
      <w:r w:rsidRPr="00764055">
        <w:rPr>
          <w:b/>
          <w:lang w:val="hr-HR"/>
        </w:rPr>
        <w:t>načelni profil (kriterij za odabir)</w:t>
      </w:r>
      <w:r w:rsidRPr="00764055">
        <w:rPr>
          <w:bCs/>
          <w:lang w:val="hr-HR"/>
        </w:rPr>
        <w:t xml:space="preserve"> člana radne grupe:</w:t>
      </w:r>
    </w:p>
    <w:p w14:paraId="7BA31CCF" w14:textId="1978CA03" w:rsidR="00764055" w:rsidRPr="00764055" w:rsidRDefault="00764055" w:rsidP="00764055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bCs/>
          <w:lang w:val="hr-HR"/>
        </w:rPr>
      </w:pPr>
      <w:r w:rsidRPr="00764055">
        <w:rPr>
          <w:bCs/>
          <w:lang w:val="hr-HR"/>
        </w:rPr>
        <w:t>Iskustvo u razvoju nastavnih planova i programa</w:t>
      </w:r>
      <w:r>
        <w:rPr>
          <w:bCs/>
          <w:lang w:val="hr-HR"/>
        </w:rPr>
        <w:t>,</w:t>
      </w:r>
    </w:p>
    <w:p w14:paraId="3B952411" w14:textId="1E7F028D" w:rsidR="00764055" w:rsidRPr="00764055" w:rsidRDefault="00764055" w:rsidP="00764055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bCs/>
          <w:lang w:val="hr-HR"/>
        </w:rPr>
      </w:pPr>
      <w:r w:rsidRPr="00764055">
        <w:rPr>
          <w:bCs/>
          <w:lang w:val="hr-HR"/>
        </w:rPr>
        <w:t>Poznavanje koncepta ishoda učenja (Bl</w:t>
      </w:r>
      <w:r w:rsidR="007A3EFA">
        <w:rPr>
          <w:bCs/>
          <w:lang w:val="hr-HR"/>
        </w:rPr>
        <w:t>u</w:t>
      </w:r>
      <w:r w:rsidRPr="00764055">
        <w:rPr>
          <w:bCs/>
          <w:lang w:val="hr-HR"/>
        </w:rPr>
        <w:t>mova taksonomija, nastava bazirana na ishodima, ispitivanje bazirano na ishodima i sl.)</w:t>
      </w:r>
      <w:r>
        <w:rPr>
          <w:bCs/>
          <w:lang w:val="hr-HR"/>
        </w:rPr>
        <w:t>,</w:t>
      </w:r>
    </w:p>
    <w:p w14:paraId="6395652F" w14:textId="45CAF13E" w:rsidR="00764055" w:rsidRPr="00764055" w:rsidRDefault="00764055" w:rsidP="00764055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bCs/>
          <w:lang w:val="hr-HR"/>
        </w:rPr>
      </w:pPr>
      <w:r w:rsidRPr="00764055">
        <w:rPr>
          <w:bCs/>
          <w:lang w:val="hr-HR"/>
        </w:rPr>
        <w:t>Poželjno iskustvo u projektima</w:t>
      </w:r>
      <w:r>
        <w:rPr>
          <w:bCs/>
          <w:lang w:val="hr-HR"/>
        </w:rPr>
        <w:t>,</w:t>
      </w:r>
    </w:p>
    <w:p w14:paraId="2AD4AFCC" w14:textId="669882A3" w:rsidR="0035605D" w:rsidRDefault="00764055" w:rsidP="00764055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bCs/>
          <w:lang w:val="hr-HR"/>
        </w:rPr>
      </w:pPr>
      <w:r w:rsidRPr="00764055">
        <w:rPr>
          <w:bCs/>
          <w:lang w:val="hr-HR"/>
        </w:rPr>
        <w:t>Dobre interpersonalne vještine, posebno vještina rada u timu</w:t>
      </w:r>
      <w:r>
        <w:rPr>
          <w:bCs/>
          <w:lang w:val="hr-HR"/>
        </w:rPr>
        <w:t>.</w:t>
      </w:r>
    </w:p>
    <w:p w14:paraId="03D8828E" w14:textId="5D558CBB" w:rsidR="00764055" w:rsidRPr="00764055" w:rsidRDefault="00764055" w:rsidP="00764055">
      <w:pPr>
        <w:spacing w:before="100" w:after="100" w:line="276" w:lineRule="auto"/>
        <w:ind w:left="720"/>
        <w:jc w:val="both"/>
        <w:rPr>
          <w:bCs/>
          <w:lang w:val="hr-HR"/>
        </w:rPr>
      </w:pPr>
      <w:r>
        <w:rPr>
          <w:bCs/>
          <w:lang w:val="hr-HR"/>
        </w:rPr>
        <w:t>Prvi sastanak radnih grupa održat će se 22. i 23. januara 2020. godine u Budvi.</w:t>
      </w:r>
    </w:p>
    <w:p w14:paraId="100B74E5" w14:textId="0FBBCBE0" w:rsidR="00512763" w:rsidRDefault="00764055" w:rsidP="00512763">
      <w:pPr>
        <w:pStyle w:val="ListParagraph"/>
        <w:numPr>
          <w:ilvl w:val="0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Projektni tim je raspravljao o metodama implementacije ključnih kompetencija u sve nivoe formalnog obrazovanja. Utvrđena su sljedeća načela:</w:t>
      </w:r>
    </w:p>
    <w:p w14:paraId="32891875" w14:textId="61F057DD" w:rsidR="00764055" w:rsidRDefault="00764055" w:rsidP="00764055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Slijediti preporuke EU referentnog okvira;</w:t>
      </w:r>
    </w:p>
    <w:p w14:paraId="5C67A51B" w14:textId="3F786DEF" w:rsidR="00764055" w:rsidRDefault="00764055" w:rsidP="00764055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Pokriti sve nivoe obrazovanja kroz preporuke i smjernice;</w:t>
      </w:r>
    </w:p>
    <w:p w14:paraId="0A1E3CEC" w14:textId="707DA481" w:rsidR="00764055" w:rsidRDefault="00764055" w:rsidP="00764055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Koristiti različite metode rada u nastavi (kroz predmete, međupredmetno, projektno, van-nastavno);</w:t>
      </w:r>
    </w:p>
    <w:p w14:paraId="1F1CEDDD" w14:textId="04AA6AB1" w:rsidR="00764055" w:rsidRDefault="00764055" w:rsidP="00764055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Pružiti snažnu podršku nastavnicima kroz kontinuirani profesionalni razvoj s fokusiranim obukama;</w:t>
      </w:r>
    </w:p>
    <w:p w14:paraId="18CBB303" w14:textId="5BA59E85" w:rsidR="00764055" w:rsidRDefault="00764055" w:rsidP="00764055">
      <w:pPr>
        <w:pStyle w:val="ListParagraph"/>
        <w:numPr>
          <w:ilvl w:val="1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Definistai procjenu i vrednovanje.</w:t>
      </w:r>
    </w:p>
    <w:p w14:paraId="7BBF3F3C" w14:textId="3E2A999B" w:rsidR="00764055" w:rsidRDefault="00764055" w:rsidP="00764055">
      <w:p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 zaključnoj sesiji Projektni tim se bavi organizacijskim pitanjima. Prezentirane su naredne aktivnosti:</w:t>
      </w:r>
    </w:p>
    <w:p w14:paraId="035397EB" w14:textId="330DEAEF" w:rsidR="00764055" w:rsidRDefault="00764055" w:rsidP="00764055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Prva radionica za službenike za osiguranje kval</w:t>
      </w:r>
      <w:r w:rsidR="007A3EFA">
        <w:rPr>
          <w:bCs/>
          <w:lang w:val="hr-HR"/>
        </w:rPr>
        <w:t>i</w:t>
      </w:r>
      <w:r>
        <w:rPr>
          <w:bCs/>
          <w:lang w:val="hr-HR"/>
        </w:rPr>
        <w:t xml:space="preserve">teta (nadzornike) Zavoda za školstvo i Centra za </w:t>
      </w:r>
      <w:r>
        <w:rPr>
          <w:bCs/>
          <w:lang w:val="hr-HR"/>
        </w:rPr>
        <w:lastRenderedPageBreak/>
        <w:t>stručno obrazovanje o ključnim kompetencijama</w:t>
      </w:r>
      <w:r w:rsidR="009034DB">
        <w:rPr>
          <w:bCs/>
          <w:lang w:val="hr-HR"/>
        </w:rPr>
        <w:t>, s fokusom na razvoj protokola za praćenje ključnih kompetencija u osnovnom i srednjem obrazovanju – planirana za 15. i 16.</w:t>
      </w:r>
      <w:r w:rsidR="007A3EFA">
        <w:rPr>
          <w:bCs/>
          <w:lang w:val="hr-HR"/>
        </w:rPr>
        <w:t xml:space="preserve"> januar </w:t>
      </w:r>
      <w:r w:rsidR="009034DB">
        <w:rPr>
          <w:bCs/>
          <w:lang w:val="hr-HR"/>
        </w:rPr>
        <w:t>2020. godine u Podgorici (Zavod za školstvo);</w:t>
      </w:r>
    </w:p>
    <w:p w14:paraId="5A5BA814" w14:textId="4ADAA974" w:rsidR="009034DB" w:rsidRDefault="009034DB" w:rsidP="00764055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Sastanak radnih grupa za razvoj kompetencija – 22. i 23.</w:t>
      </w:r>
      <w:r w:rsidR="007A3EFA">
        <w:rPr>
          <w:bCs/>
          <w:lang w:val="hr-HR"/>
        </w:rPr>
        <w:t xml:space="preserve"> januar </w:t>
      </w:r>
      <w:r>
        <w:rPr>
          <w:bCs/>
          <w:lang w:val="hr-HR"/>
        </w:rPr>
        <w:t>2020. godine Budva;</w:t>
      </w:r>
    </w:p>
    <w:p w14:paraId="3913B429" w14:textId="2A83BCA6" w:rsidR="009034DB" w:rsidRDefault="009034DB" w:rsidP="00764055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Naredni sastanak Projektnog tima – 23. i 24.</w:t>
      </w:r>
      <w:r w:rsidR="007A3EFA">
        <w:rPr>
          <w:bCs/>
          <w:lang w:val="hr-HR"/>
        </w:rPr>
        <w:t xml:space="preserve"> januar </w:t>
      </w:r>
      <w:r>
        <w:rPr>
          <w:bCs/>
          <w:lang w:val="hr-HR"/>
        </w:rPr>
        <w:t>2020. godine Budva;</w:t>
      </w:r>
    </w:p>
    <w:p w14:paraId="3BC4A5A8" w14:textId="16DEA47A" w:rsidR="009034DB" w:rsidRDefault="007A3EFA" w:rsidP="00764055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 xml:space="preserve">Razgovaralo </w:t>
      </w:r>
      <w:r w:rsidR="009034DB">
        <w:rPr>
          <w:bCs/>
          <w:lang w:val="hr-HR"/>
        </w:rPr>
        <w:t>se i o studijskoj posjeti u Poljsku u posljednjoj sedmici februara 2020. godine. Pre</w:t>
      </w:r>
      <w:r>
        <w:rPr>
          <w:bCs/>
          <w:lang w:val="hr-HR"/>
        </w:rPr>
        <w:t>dstavljena</w:t>
      </w:r>
      <w:r w:rsidR="009034DB">
        <w:rPr>
          <w:bCs/>
          <w:lang w:val="hr-HR"/>
        </w:rPr>
        <w:t xml:space="preserve"> je lista instit</w:t>
      </w:r>
      <w:r>
        <w:rPr>
          <w:bCs/>
          <w:lang w:val="hr-HR"/>
        </w:rPr>
        <w:t>u</w:t>
      </w:r>
      <w:r w:rsidR="009034DB">
        <w:rPr>
          <w:bCs/>
          <w:lang w:val="hr-HR"/>
        </w:rPr>
        <w:t>cija koje se mogu posjetiti</w:t>
      </w:r>
      <w:r w:rsidR="009034DB" w:rsidRPr="009034DB">
        <w:rPr>
          <w:bCs/>
          <w:lang w:val="hr-HR"/>
        </w:rPr>
        <w:t xml:space="preserve"> </w:t>
      </w:r>
      <w:r w:rsidR="009034DB">
        <w:rPr>
          <w:bCs/>
          <w:lang w:val="hr-HR"/>
        </w:rPr>
        <w:t>koju je pripremio IBE – Institut za istraživanje obrazovanja iz Poljske, član EPRD konzorcij</w:t>
      </w:r>
      <w:r>
        <w:rPr>
          <w:bCs/>
          <w:lang w:val="hr-HR"/>
        </w:rPr>
        <w:t>um</w:t>
      </w:r>
      <w:r w:rsidR="009034DB">
        <w:rPr>
          <w:bCs/>
          <w:lang w:val="hr-HR"/>
        </w:rPr>
        <w:t>a. Članovi Projektnog tima su se saglasili s listom institucija.</w:t>
      </w:r>
    </w:p>
    <w:p w14:paraId="023A825B" w14:textId="53055B96" w:rsidR="009034DB" w:rsidRDefault="009034DB" w:rsidP="009034DB">
      <w:p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Sastank je završio 12.</w:t>
      </w:r>
      <w:r w:rsidR="007A3EFA">
        <w:rPr>
          <w:bCs/>
          <w:lang w:val="hr-HR"/>
        </w:rPr>
        <w:t xml:space="preserve"> decembra </w:t>
      </w:r>
      <w:r>
        <w:rPr>
          <w:bCs/>
          <w:lang w:val="hr-HR"/>
        </w:rPr>
        <w:t>20</w:t>
      </w:r>
      <w:r w:rsidR="008D5333">
        <w:rPr>
          <w:bCs/>
          <w:lang w:val="hr-HR"/>
        </w:rPr>
        <w:t>19</w:t>
      </w:r>
      <w:r>
        <w:rPr>
          <w:bCs/>
          <w:lang w:val="hr-HR"/>
        </w:rPr>
        <w:t>. godine u 16.30 sati.</w:t>
      </w:r>
    </w:p>
    <w:p w14:paraId="65673527" w14:textId="436EFC86" w:rsidR="009034DB" w:rsidRDefault="009034DB" w:rsidP="009034DB">
      <w:pPr>
        <w:spacing w:before="100" w:after="100" w:line="276" w:lineRule="auto"/>
        <w:jc w:val="both"/>
        <w:rPr>
          <w:bCs/>
          <w:lang w:val="hr-HR"/>
        </w:rPr>
      </w:pPr>
    </w:p>
    <w:p w14:paraId="1FC8BBF4" w14:textId="193EE3BD" w:rsidR="00BB3FBB" w:rsidRPr="008144F4" w:rsidRDefault="009034DB" w:rsidP="009034DB">
      <w:pPr>
        <w:spacing w:before="100" w:after="100" w:line="276" w:lineRule="auto"/>
        <w:jc w:val="both"/>
        <w:rPr>
          <w:lang w:val="hr-HR"/>
        </w:rPr>
      </w:pPr>
      <w:r>
        <w:rPr>
          <w:bCs/>
          <w:lang w:val="hr-HR"/>
        </w:rPr>
        <w:t>Izvještaj sačinio: Boris Ćurković, vođa tima i klju</w:t>
      </w:r>
      <w:r w:rsidR="004C6EBF">
        <w:rPr>
          <w:bCs/>
          <w:lang w:val="hr-HR"/>
        </w:rPr>
        <w:t>č</w:t>
      </w:r>
      <w:r>
        <w:rPr>
          <w:bCs/>
          <w:lang w:val="hr-HR"/>
        </w:rPr>
        <w:t xml:space="preserve">ni </w:t>
      </w:r>
      <w:r w:rsidR="007A3EFA">
        <w:rPr>
          <w:bCs/>
          <w:lang w:val="hr-HR"/>
        </w:rPr>
        <w:t>stručnjak</w:t>
      </w:r>
      <w:bookmarkStart w:id="0" w:name="_GoBack"/>
      <w:bookmarkEnd w:id="0"/>
      <w:r>
        <w:rPr>
          <w:bCs/>
          <w:lang w:val="hr-HR"/>
        </w:rPr>
        <w:t xml:space="preserve"> za realizaciju Komponente 1</w:t>
      </w:r>
    </w:p>
    <w:p w14:paraId="3A941715" w14:textId="77777777" w:rsidR="00BB3FBB" w:rsidRPr="008144F4" w:rsidRDefault="00BB3FBB" w:rsidP="00BB3FBB">
      <w:pPr>
        <w:spacing w:before="100" w:after="100" w:line="276" w:lineRule="auto"/>
        <w:ind w:firstLine="720"/>
        <w:rPr>
          <w:lang w:val="hr-HR"/>
        </w:rPr>
      </w:pPr>
    </w:p>
    <w:sectPr w:rsidR="00BB3FBB" w:rsidRPr="008144F4" w:rsidSect="009022B7">
      <w:headerReference w:type="default" r:id="rId13"/>
      <w:footerReference w:type="default" r:id="rId14"/>
      <w:footerReference w:type="first" r:id="rId15"/>
      <w:pgSz w:w="11910" w:h="16840"/>
      <w:pgMar w:top="1625" w:right="907" w:bottom="2155" w:left="907" w:header="709" w:footer="82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B252F" w14:textId="77777777" w:rsidR="00D41F69" w:rsidRDefault="00D41F69" w:rsidP="00C13B02">
      <w:r>
        <w:separator/>
      </w:r>
    </w:p>
  </w:endnote>
  <w:endnote w:type="continuationSeparator" w:id="0">
    <w:p w14:paraId="55FBBC80" w14:textId="77777777" w:rsidR="00D41F69" w:rsidRDefault="00D41F69" w:rsidP="00C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5C4B4" w14:textId="77777777" w:rsidR="00BF7F25" w:rsidRDefault="00BF7F25" w:rsidP="00A022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0DCBF1" w14:textId="77777777" w:rsidR="00BF7F25" w:rsidRDefault="00BF7F25" w:rsidP="00A0224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159E1" w14:textId="77777777" w:rsidR="00BF7F25" w:rsidRPr="00EE64B0" w:rsidRDefault="00BF7F25" w:rsidP="00EE64B0">
    <w:pPr>
      <w:pStyle w:val="Footer"/>
      <w:ind w:left="-90"/>
      <w:rPr>
        <w:b/>
        <w:noProof/>
        <w:color w:val="595959" w:themeColor="text1" w:themeTint="A6"/>
        <w:sz w:val="16"/>
        <w:szCs w:val="16"/>
      </w:rPr>
    </w:pPr>
    <w:r w:rsidRPr="00EE64B0">
      <w:rPr>
        <w:b/>
        <w:noProof/>
        <w:color w:val="595959" w:themeColor="text1" w:themeTint="A6"/>
        <w:sz w:val="16"/>
        <w:szCs w:val="16"/>
      </w:rPr>
      <w:t xml:space="preserve">Integration of key competences into the education system of Montenegro, </w:t>
    </w:r>
  </w:p>
  <w:p w14:paraId="05CD39BD" w14:textId="27D628B0" w:rsidR="00BF7F25" w:rsidRPr="00EE64B0" w:rsidRDefault="00BF7F25" w:rsidP="00EE64B0">
    <w:pPr>
      <w:pStyle w:val="Footer"/>
      <w:ind w:left="-90"/>
      <w:rPr>
        <w:b/>
        <w:noProof/>
        <w:color w:val="595959" w:themeColor="text1" w:themeTint="A6"/>
        <w:sz w:val="18"/>
        <w:szCs w:val="18"/>
      </w:rPr>
    </w:pPr>
    <w:r w:rsidRPr="00EE64B0">
      <w:rPr>
        <w:b/>
        <w:noProof/>
        <w:color w:val="595959" w:themeColor="text1" w:themeTint="A6"/>
        <w:sz w:val="16"/>
        <w:szCs w:val="16"/>
      </w:rPr>
      <w:t xml:space="preserve">Vaka Djurovica bb/I, 81000 Podgorica, Montenegro, P: +382 20 408 937, E-m: </w:t>
    </w:r>
    <w:hyperlink r:id="rId1" w:history="1">
      <w:r w:rsidRPr="00EE64B0">
        <w:rPr>
          <w:rStyle w:val="Hyperlink"/>
          <w:b/>
          <w:noProof/>
          <w:color w:val="595959" w:themeColor="text1" w:themeTint="A6"/>
          <w:sz w:val="16"/>
          <w:szCs w:val="16"/>
        </w:rPr>
        <w:t>b.zivkovic@eprd.pl</w:t>
      </w:r>
    </w:hyperlink>
    <w:r w:rsidRPr="00EE64B0">
      <w:rPr>
        <w:b/>
        <w:noProof/>
        <w:color w:val="595959" w:themeColor="text1" w:themeTint="A6"/>
        <w:sz w:val="16"/>
        <w:szCs w:val="16"/>
      </w:rPr>
      <w:t xml:space="preserve"> </w:t>
    </w:r>
  </w:p>
  <w:p w14:paraId="2D2CBD9C" w14:textId="17DF5163" w:rsidR="00BF7F25" w:rsidRDefault="00BF7F25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B703D" w14:textId="77777777" w:rsidR="00BF7F25" w:rsidRPr="00A0224C" w:rsidRDefault="00BF7F25" w:rsidP="00A0224C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316DFFF2" w14:textId="4AE1F8CD" w:rsidR="00BF7F25" w:rsidRDefault="00BF7F25" w:rsidP="00A0224C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2DFE5" w14:textId="77777777" w:rsidR="00BF7F25" w:rsidRDefault="00BF7F25" w:rsidP="00A022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3A9B">
      <w:rPr>
        <w:rStyle w:val="PageNumber"/>
        <w:noProof/>
      </w:rPr>
      <w:t>3</w:t>
    </w:r>
    <w:r>
      <w:rPr>
        <w:rStyle w:val="PageNumber"/>
      </w:rPr>
      <w:fldChar w:fldCharType="end"/>
    </w:r>
  </w:p>
  <w:p w14:paraId="0B1F12A6" w14:textId="77777777" w:rsidR="00BF7F25" w:rsidRDefault="00BF7F25" w:rsidP="00876CE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  <w:p w14:paraId="17079B7C" w14:textId="77777777" w:rsidR="00BF7F25" w:rsidRDefault="00BF7F25">
    <w:pPr>
      <w:pStyle w:val="Footer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427CB" w14:textId="77777777" w:rsidR="00BF7F25" w:rsidRPr="00A0224C" w:rsidRDefault="00BF7F25" w:rsidP="00A0224C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 w:rsidR="00013A9B"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0A57687F" w14:textId="77777777" w:rsidR="00BF7F25" w:rsidRDefault="00BF7F25" w:rsidP="00A0224C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C305B" w14:textId="77777777" w:rsidR="00D41F69" w:rsidRDefault="00D41F69" w:rsidP="00C13B02">
      <w:r>
        <w:separator/>
      </w:r>
    </w:p>
  </w:footnote>
  <w:footnote w:type="continuationSeparator" w:id="0">
    <w:p w14:paraId="79F333D6" w14:textId="77777777" w:rsidR="00D41F69" w:rsidRDefault="00D41F69" w:rsidP="00C13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6EA4" w14:textId="77777777" w:rsidR="00BF7F25" w:rsidRDefault="00BF7F25" w:rsidP="001428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EBD7A3" w14:textId="77777777" w:rsidR="00BF7F25" w:rsidRDefault="00BF7F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4ECAD" w14:textId="77777777" w:rsidR="00BF7F25" w:rsidRDefault="00BF7F25" w:rsidP="00664EA6">
    <w:pPr>
      <w:pStyle w:val="Header"/>
      <w:rPr>
        <w:noProof/>
      </w:rPr>
    </w:pPr>
    <w:r>
      <w:rPr>
        <w:noProof/>
        <w:lang w:val="en-US" w:eastAsia="en-US" w:bidi="ar-SA"/>
      </w:rPr>
      <w:drawing>
        <wp:anchor distT="0" distB="0" distL="114300" distR="114300" simplePos="0" relativeHeight="251657216" behindDoc="1" locked="0" layoutInCell="1" allowOverlap="1" wp14:anchorId="78EF91F9" wp14:editId="356162AE">
          <wp:simplePos x="0" y="0"/>
          <wp:positionH relativeFrom="column">
            <wp:posOffset>-662940</wp:posOffset>
          </wp:positionH>
          <wp:positionV relativeFrom="paragraph">
            <wp:posOffset>-454660</wp:posOffset>
          </wp:positionV>
          <wp:extent cx="7620000" cy="1077529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5866D0" w14:textId="69C07D13" w:rsidR="00BF7F25" w:rsidRPr="00664EA6" w:rsidRDefault="00BF7F25" w:rsidP="00664E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88658" w14:textId="6764EC3F" w:rsidR="00BF7F25" w:rsidRPr="00876CE6" w:rsidRDefault="00BF7F25" w:rsidP="00041F43">
    <w:pPr>
      <w:pStyle w:val="Header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213FB"/>
    <w:multiLevelType w:val="hybridMultilevel"/>
    <w:tmpl w:val="4ABE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0E23"/>
    <w:multiLevelType w:val="hybridMultilevel"/>
    <w:tmpl w:val="2418E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4E185D"/>
    <w:multiLevelType w:val="hybridMultilevel"/>
    <w:tmpl w:val="9F146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25C99"/>
    <w:multiLevelType w:val="multilevel"/>
    <w:tmpl w:val="2586F2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38F7147C"/>
    <w:multiLevelType w:val="hybridMultilevel"/>
    <w:tmpl w:val="FD6CA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C40408"/>
    <w:multiLevelType w:val="hybridMultilevel"/>
    <w:tmpl w:val="A0F68512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74148"/>
    <w:multiLevelType w:val="hybridMultilevel"/>
    <w:tmpl w:val="6032D292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34E9C"/>
    <w:multiLevelType w:val="hybridMultilevel"/>
    <w:tmpl w:val="F8686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5825F6"/>
    <w:multiLevelType w:val="hybridMultilevel"/>
    <w:tmpl w:val="34D407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1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B1"/>
    <w:rsid w:val="00002C17"/>
    <w:rsid w:val="00013A9B"/>
    <w:rsid w:val="0001748C"/>
    <w:rsid w:val="00041F43"/>
    <w:rsid w:val="000837EF"/>
    <w:rsid w:val="0009173A"/>
    <w:rsid w:val="000A0B2B"/>
    <w:rsid w:val="000A58A9"/>
    <w:rsid w:val="000B7394"/>
    <w:rsid w:val="000F0158"/>
    <w:rsid w:val="00111437"/>
    <w:rsid w:val="00115EC2"/>
    <w:rsid w:val="0013289A"/>
    <w:rsid w:val="001428AA"/>
    <w:rsid w:val="00150D74"/>
    <w:rsid w:val="00164C2A"/>
    <w:rsid w:val="001E4249"/>
    <w:rsid w:val="00206391"/>
    <w:rsid w:val="002105E7"/>
    <w:rsid w:val="00221334"/>
    <w:rsid w:val="00233C91"/>
    <w:rsid w:val="002848FF"/>
    <w:rsid w:val="002A103B"/>
    <w:rsid w:val="002C2339"/>
    <w:rsid w:val="002C734B"/>
    <w:rsid w:val="002E0163"/>
    <w:rsid w:val="002F5D7A"/>
    <w:rsid w:val="002F66A2"/>
    <w:rsid w:val="00306143"/>
    <w:rsid w:val="0035605D"/>
    <w:rsid w:val="003665E7"/>
    <w:rsid w:val="003B6226"/>
    <w:rsid w:val="003E4101"/>
    <w:rsid w:val="004054F6"/>
    <w:rsid w:val="00424382"/>
    <w:rsid w:val="0043778C"/>
    <w:rsid w:val="00496EFE"/>
    <w:rsid w:val="004C6EBF"/>
    <w:rsid w:val="004D5A83"/>
    <w:rsid w:val="004E114A"/>
    <w:rsid w:val="004E3A8D"/>
    <w:rsid w:val="004F4702"/>
    <w:rsid w:val="00512763"/>
    <w:rsid w:val="005165E8"/>
    <w:rsid w:val="00536336"/>
    <w:rsid w:val="0055086A"/>
    <w:rsid w:val="00574233"/>
    <w:rsid w:val="00590EF8"/>
    <w:rsid w:val="005A55B1"/>
    <w:rsid w:val="005C4995"/>
    <w:rsid w:val="005C71D4"/>
    <w:rsid w:val="005D14DC"/>
    <w:rsid w:val="00602958"/>
    <w:rsid w:val="00611E43"/>
    <w:rsid w:val="00623C13"/>
    <w:rsid w:val="006357D0"/>
    <w:rsid w:val="00641FDF"/>
    <w:rsid w:val="00664EA6"/>
    <w:rsid w:val="00674D22"/>
    <w:rsid w:val="00676769"/>
    <w:rsid w:val="00693A32"/>
    <w:rsid w:val="00695CD8"/>
    <w:rsid w:val="006A2074"/>
    <w:rsid w:val="006B289F"/>
    <w:rsid w:val="006C485C"/>
    <w:rsid w:val="006C57AF"/>
    <w:rsid w:val="006D1C48"/>
    <w:rsid w:val="006E2AA2"/>
    <w:rsid w:val="006F5F13"/>
    <w:rsid w:val="006F696F"/>
    <w:rsid w:val="006F7479"/>
    <w:rsid w:val="0070772D"/>
    <w:rsid w:val="00731C6E"/>
    <w:rsid w:val="007466F2"/>
    <w:rsid w:val="00764055"/>
    <w:rsid w:val="00784814"/>
    <w:rsid w:val="007A3EFA"/>
    <w:rsid w:val="007D1DD5"/>
    <w:rsid w:val="007E6157"/>
    <w:rsid w:val="008144F4"/>
    <w:rsid w:val="008431E5"/>
    <w:rsid w:val="00876CE6"/>
    <w:rsid w:val="008771D6"/>
    <w:rsid w:val="008A3245"/>
    <w:rsid w:val="008B299E"/>
    <w:rsid w:val="008C10A2"/>
    <w:rsid w:val="008C6701"/>
    <w:rsid w:val="008C7404"/>
    <w:rsid w:val="008D5333"/>
    <w:rsid w:val="008E4A63"/>
    <w:rsid w:val="009022B7"/>
    <w:rsid w:val="009034DB"/>
    <w:rsid w:val="0097618D"/>
    <w:rsid w:val="009B5FBE"/>
    <w:rsid w:val="009D3B30"/>
    <w:rsid w:val="009E70EB"/>
    <w:rsid w:val="00A0224C"/>
    <w:rsid w:val="00A175CB"/>
    <w:rsid w:val="00A31C15"/>
    <w:rsid w:val="00A340EE"/>
    <w:rsid w:val="00A67732"/>
    <w:rsid w:val="00A72232"/>
    <w:rsid w:val="00A92328"/>
    <w:rsid w:val="00A9459D"/>
    <w:rsid w:val="00AB7E7A"/>
    <w:rsid w:val="00AC7F33"/>
    <w:rsid w:val="00AE73FA"/>
    <w:rsid w:val="00B31CC9"/>
    <w:rsid w:val="00B340FD"/>
    <w:rsid w:val="00B44D88"/>
    <w:rsid w:val="00B46AF4"/>
    <w:rsid w:val="00B53170"/>
    <w:rsid w:val="00B534C3"/>
    <w:rsid w:val="00B92135"/>
    <w:rsid w:val="00BA0396"/>
    <w:rsid w:val="00BB3FBB"/>
    <w:rsid w:val="00BB647F"/>
    <w:rsid w:val="00BD05D7"/>
    <w:rsid w:val="00BF7F25"/>
    <w:rsid w:val="00C02C7D"/>
    <w:rsid w:val="00C13B02"/>
    <w:rsid w:val="00C27DA3"/>
    <w:rsid w:val="00C44E40"/>
    <w:rsid w:val="00C77C6A"/>
    <w:rsid w:val="00C9517E"/>
    <w:rsid w:val="00CC6B56"/>
    <w:rsid w:val="00CF29B1"/>
    <w:rsid w:val="00D41F69"/>
    <w:rsid w:val="00D46C95"/>
    <w:rsid w:val="00D50BF3"/>
    <w:rsid w:val="00D52940"/>
    <w:rsid w:val="00D94158"/>
    <w:rsid w:val="00DA61EB"/>
    <w:rsid w:val="00DD6887"/>
    <w:rsid w:val="00E200A7"/>
    <w:rsid w:val="00E20D22"/>
    <w:rsid w:val="00E352B7"/>
    <w:rsid w:val="00E44B9F"/>
    <w:rsid w:val="00E53C7D"/>
    <w:rsid w:val="00E560F4"/>
    <w:rsid w:val="00E57A8F"/>
    <w:rsid w:val="00E76A94"/>
    <w:rsid w:val="00E92BAC"/>
    <w:rsid w:val="00EA00EF"/>
    <w:rsid w:val="00EA4974"/>
    <w:rsid w:val="00EE64B0"/>
    <w:rsid w:val="00F00848"/>
    <w:rsid w:val="00F11E88"/>
    <w:rsid w:val="00F71DDA"/>
    <w:rsid w:val="00F96F1D"/>
    <w:rsid w:val="00FB1E37"/>
    <w:rsid w:val="00FC0585"/>
    <w:rsid w:val="00FC322C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3C5C82"/>
  <w15:docId w15:val="{765274A7-5807-4519-9880-4EFC9974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pl-PL" w:eastAsia="pl-PL" w:bidi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517E"/>
    <w:pPr>
      <w:keepNext/>
      <w:keepLines/>
      <w:widowControl/>
      <w:autoSpaceDE/>
      <w:autoSpaceDN/>
      <w:spacing w:before="480" w:line="276" w:lineRule="auto"/>
      <w:jc w:val="center"/>
      <w:outlineLvl w:val="0"/>
    </w:pPr>
    <w:rPr>
      <w:rFonts w:ascii="Calibri" w:eastAsiaTheme="majorEastAsia" w:hAnsi="Calibri" w:cstheme="majorBidi"/>
      <w:b/>
      <w:bCs/>
      <w:color w:val="800000"/>
      <w:sz w:val="32"/>
      <w:szCs w:val="32"/>
      <w:lang w:val="hr-HR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0848"/>
    <w:pPr>
      <w:keepNext/>
      <w:keepLines/>
      <w:spacing w:before="200"/>
      <w:outlineLvl w:val="1"/>
    </w:pPr>
    <w:rPr>
      <w:rFonts w:ascii="Calibri" w:eastAsiaTheme="majorEastAsia" w:hAnsi="Calibri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3A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b/>
      <w:bCs/>
      <w:sz w:val="23"/>
      <w:szCs w:val="23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NormalWeb">
    <w:name w:val="Normal (Web)"/>
    <w:basedOn w:val="Normal"/>
    <w:uiPriority w:val="99"/>
    <w:semiHidden/>
    <w:unhideWhenUsed/>
    <w:rsid w:val="00C13B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602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2">
    <w:name w:val="Medium Grid 1 Accent 2"/>
    <w:basedOn w:val="TableNormal"/>
    <w:uiPriority w:val="67"/>
    <w:rsid w:val="0060295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431E5"/>
  </w:style>
  <w:style w:type="character" w:styleId="Hyperlink">
    <w:name w:val="Hyperlink"/>
    <w:basedOn w:val="DefaultParagraphFont"/>
    <w:uiPriority w:val="99"/>
    <w:unhideWhenUsed/>
    <w:rsid w:val="00EE64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64B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9517E"/>
    <w:rPr>
      <w:rFonts w:ascii="Calibri" w:eastAsiaTheme="majorEastAsia" w:hAnsi="Calibri" w:cstheme="majorBidi"/>
      <w:b/>
      <w:bCs/>
      <w:color w:val="800000"/>
      <w:sz w:val="32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F00848"/>
    <w:rPr>
      <w:rFonts w:ascii="Calibri" w:eastAsiaTheme="majorEastAsia" w:hAnsi="Calibri" w:cs="Arial"/>
      <w:b/>
      <w:bCs/>
      <w:sz w:val="24"/>
      <w:szCs w:val="24"/>
      <w:lang w:eastAsia="pl-PL" w:bidi="pl-PL"/>
    </w:rPr>
  </w:style>
  <w:style w:type="paragraph" w:styleId="TOCHeading">
    <w:name w:val="TOC Heading"/>
    <w:basedOn w:val="Heading1"/>
    <w:next w:val="Normal"/>
    <w:uiPriority w:val="39"/>
    <w:unhideWhenUsed/>
    <w:qFormat/>
    <w:rsid w:val="00C9517E"/>
    <w:pPr>
      <w:jc w:val="left"/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9517E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9517E"/>
    <w:pPr>
      <w:ind w:left="220"/>
    </w:pPr>
    <w:rPr>
      <w:rFonts w:asciiTheme="minorHAnsi" w:hAnsiTheme="minorHAnsi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7E"/>
    <w:rPr>
      <w:rFonts w:ascii="Lucida Grande" w:eastAsia="Roboto" w:hAnsi="Lucida Grande" w:cs="Lucida Grande"/>
      <w:sz w:val="18"/>
      <w:szCs w:val="18"/>
      <w:lang w:val="pl-PL" w:eastAsia="pl-PL" w:bidi="pl-PL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9517E"/>
    <w:pPr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9517E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9517E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9517E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9517E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9517E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9517E"/>
    <w:pPr>
      <w:ind w:left="1760"/>
    </w:pPr>
    <w:rPr>
      <w:rFonts w:asciiTheme="minorHAnsi" w:hAnsiTheme="minorHAnsi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951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951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pl-PL" w:eastAsia="pl-PL" w:bidi="pl-PL"/>
    </w:rPr>
  </w:style>
  <w:style w:type="paragraph" w:styleId="FootnoteText">
    <w:name w:val="footnote text"/>
    <w:basedOn w:val="Normal"/>
    <w:link w:val="FootnoteTextChar"/>
    <w:uiPriority w:val="99"/>
    <w:unhideWhenUsed/>
    <w:rsid w:val="008C10A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10A2"/>
    <w:rPr>
      <w:rFonts w:ascii="Roboto" w:eastAsia="Roboto" w:hAnsi="Roboto" w:cs="Roboto"/>
      <w:sz w:val="24"/>
      <w:szCs w:val="24"/>
      <w:lang w:val="pl-PL" w:eastAsia="pl-PL" w:bidi="pl-PL"/>
    </w:rPr>
  </w:style>
  <w:style w:type="character" w:styleId="FootnoteReference">
    <w:name w:val="footnote reference"/>
    <w:basedOn w:val="DefaultParagraphFont"/>
    <w:uiPriority w:val="99"/>
    <w:unhideWhenUsed/>
    <w:rsid w:val="008C10A2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4E3A8D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9022B7"/>
    <w:rPr>
      <w:rFonts w:ascii="Roboto" w:eastAsia="Roboto" w:hAnsi="Roboto" w:cs="Roboto"/>
      <w:lang w:val="pl-PL" w:eastAsia="pl-PL" w:bidi="pl-PL"/>
    </w:rPr>
  </w:style>
  <w:style w:type="table" w:styleId="LightGrid-Accent2">
    <w:name w:val="Light Grid Accent 2"/>
    <w:basedOn w:val="TableNormal"/>
    <w:uiPriority w:val="62"/>
    <w:rsid w:val="00E92BA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BB3F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.zivkovic@eprd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4B78A-A6C7-4712-B266-39F09636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2255</Words>
  <Characters>12857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Plech</dc:creator>
  <cp:lastModifiedBy>Office Manager</cp:lastModifiedBy>
  <cp:revision>13</cp:revision>
  <cp:lastPrinted>2019-11-21T09:44:00Z</cp:lastPrinted>
  <dcterms:created xsi:type="dcterms:W3CDTF">2020-04-04T13:27:00Z</dcterms:created>
  <dcterms:modified xsi:type="dcterms:W3CDTF">2020-04-11T08:10:00Z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2019-09-19T00:00:00Z</vt:filetime>
  </property>
</Properties>
</file>