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52D6C" w14:textId="77777777" w:rsidR="00A542C5" w:rsidRPr="00F17BE5" w:rsidRDefault="00A542C5" w:rsidP="00A542C5">
      <w:pPr>
        <w:pStyle w:val="Heading1"/>
        <w:rPr>
          <w:lang w:val="en-GB"/>
        </w:rPr>
      </w:pPr>
    </w:p>
    <w:p w14:paraId="611C496C" w14:textId="77777777" w:rsidR="00A542C5" w:rsidRPr="00F17BE5" w:rsidRDefault="00A542C5" w:rsidP="00A542C5">
      <w:pPr>
        <w:pStyle w:val="Heading1"/>
        <w:rPr>
          <w:lang w:val="en-GB"/>
        </w:rPr>
      </w:pPr>
    </w:p>
    <w:p w14:paraId="15398F20" w14:textId="77777777" w:rsidR="00A542C5" w:rsidRPr="00F17BE5" w:rsidRDefault="00A542C5" w:rsidP="00A542C5">
      <w:pPr>
        <w:pStyle w:val="Heading1"/>
        <w:rPr>
          <w:lang w:val="en-GB"/>
        </w:rPr>
      </w:pPr>
    </w:p>
    <w:p w14:paraId="5C347EC3" w14:textId="6A6DABC6" w:rsidR="00A542C5" w:rsidRPr="00F17BE5" w:rsidRDefault="003F5641" w:rsidP="00A542C5">
      <w:pPr>
        <w:pStyle w:val="Heading1"/>
        <w:rPr>
          <w:lang w:val="en-GB"/>
        </w:rPr>
      </w:pPr>
      <w:r>
        <w:rPr>
          <w:lang w:val="en-GB"/>
        </w:rPr>
        <w:t>Annex 5:</w:t>
      </w:r>
    </w:p>
    <w:p w14:paraId="64EFEB42" w14:textId="0C63B1E2" w:rsidR="00A542C5" w:rsidRPr="00F17BE5" w:rsidRDefault="00C9033C" w:rsidP="00C07939">
      <w:pPr>
        <w:pBdr>
          <w:bottom w:val="single" w:sz="4" w:space="1" w:color="800000"/>
        </w:pBdr>
        <w:spacing w:before="100" w:after="100" w:line="276" w:lineRule="auto"/>
        <w:ind w:left="142" w:hanging="142"/>
        <w:jc w:val="center"/>
        <w:rPr>
          <w:bCs/>
          <w:color w:val="800000"/>
          <w:sz w:val="38"/>
          <w:szCs w:val="38"/>
          <w:lang w:val="en-GB"/>
        </w:rPr>
      </w:pPr>
      <w:r w:rsidRPr="00F17BE5">
        <w:rPr>
          <w:bCs/>
          <w:color w:val="800000"/>
          <w:sz w:val="38"/>
          <w:szCs w:val="38"/>
          <w:lang w:val="en-GB"/>
        </w:rPr>
        <w:t>Concept note</w:t>
      </w:r>
      <w:r w:rsidR="00C07939" w:rsidRPr="00F17BE5">
        <w:rPr>
          <w:bCs/>
          <w:color w:val="800000"/>
          <w:sz w:val="38"/>
          <w:szCs w:val="38"/>
          <w:lang w:val="en-GB"/>
        </w:rPr>
        <w:t>:</w:t>
      </w:r>
    </w:p>
    <w:p w14:paraId="4F2FAD7F" w14:textId="7F5E91C9" w:rsidR="00C07939" w:rsidRPr="00F17BE5" w:rsidRDefault="00501B95" w:rsidP="0047778D">
      <w:pPr>
        <w:spacing w:before="100" w:after="100" w:line="276" w:lineRule="auto"/>
        <w:ind w:left="142" w:hanging="142"/>
        <w:jc w:val="center"/>
        <w:rPr>
          <w:bCs/>
          <w:color w:val="800000"/>
          <w:sz w:val="38"/>
          <w:szCs w:val="38"/>
          <w:lang w:val="en-GB"/>
        </w:rPr>
      </w:pPr>
      <w:r w:rsidRPr="00F17BE5">
        <w:rPr>
          <w:b/>
          <w:color w:val="800000"/>
          <w:sz w:val="38"/>
          <w:szCs w:val="38"/>
          <w:lang w:val="en-GB"/>
        </w:rPr>
        <w:t xml:space="preserve">Strengthening teacher competencies in study programs for initial teacher education at the University of Montenegro </w:t>
      </w:r>
    </w:p>
    <w:p w14:paraId="63213CCF" w14:textId="77777777" w:rsidR="00A542C5" w:rsidRPr="00F17BE5" w:rsidRDefault="00A542C5" w:rsidP="00A542C5">
      <w:pPr>
        <w:spacing w:before="100" w:after="100" w:line="276" w:lineRule="auto"/>
        <w:ind w:left="360"/>
        <w:rPr>
          <w:bCs/>
          <w:color w:val="800000"/>
          <w:sz w:val="38"/>
          <w:szCs w:val="38"/>
          <w:lang w:val="en-GB"/>
        </w:rPr>
      </w:pPr>
    </w:p>
    <w:p w14:paraId="0D26B861" w14:textId="77777777" w:rsidR="00A542C5" w:rsidRPr="00F17BE5" w:rsidRDefault="00A542C5" w:rsidP="00A542C5">
      <w:pPr>
        <w:spacing w:before="100" w:after="100" w:line="276" w:lineRule="auto"/>
        <w:ind w:left="360"/>
        <w:jc w:val="center"/>
        <w:rPr>
          <w:b/>
          <w:color w:val="800000"/>
          <w:sz w:val="38"/>
          <w:szCs w:val="38"/>
          <w:lang w:val="en-GB"/>
        </w:rPr>
      </w:pPr>
    </w:p>
    <w:p w14:paraId="217C1949" w14:textId="77777777" w:rsidR="00A542C5" w:rsidRPr="00F17BE5" w:rsidRDefault="00A542C5" w:rsidP="00A542C5">
      <w:pPr>
        <w:spacing w:before="100" w:after="100" w:line="276" w:lineRule="auto"/>
        <w:jc w:val="both"/>
        <w:rPr>
          <w:rFonts w:ascii="Calibri" w:hAnsi="Calibri"/>
          <w:sz w:val="20"/>
          <w:szCs w:val="20"/>
          <w:lang w:val="en-GB"/>
        </w:rPr>
      </w:pPr>
    </w:p>
    <w:p w14:paraId="13E86B04" w14:textId="77777777" w:rsidR="00A542C5" w:rsidRPr="00F17BE5" w:rsidRDefault="00A542C5" w:rsidP="00A542C5">
      <w:pPr>
        <w:spacing w:line="276" w:lineRule="auto"/>
        <w:rPr>
          <w:rFonts w:ascii="Calibri" w:hAnsi="Calibri"/>
          <w:sz w:val="20"/>
          <w:szCs w:val="20"/>
          <w:lang w:val="en-GB"/>
        </w:rPr>
      </w:pPr>
    </w:p>
    <w:p w14:paraId="0119443B" w14:textId="77777777" w:rsidR="0047778D" w:rsidRPr="00F17BE5" w:rsidRDefault="0047778D" w:rsidP="0047778D">
      <w:pPr>
        <w:rPr>
          <w:rFonts w:ascii="Calibri" w:hAnsi="Calibri"/>
          <w:sz w:val="20"/>
          <w:szCs w:val="20"/>
          <w:lang w:val="en-GB"/>
        </w:rPr>
      </w:pPr>
    </w:p>
    <w:p w14:paraId="6416477D" w14:textId="77777777" w:rsidR="0047778D" w:rsidRPr="00F17BE5" w:rsidRDefault="0047778D" w:rsidP="0047778D">
      <w:pPr>
        <w:rPr>
          <w:rFonts w:ascii="Calibri" w:hAnsi="Calibri"/>
          <w:sz w:val="20"/>
          <w:szCs w:val="20"/>
          <w:lang w:val="en-GB"/>
        </w:rPr>
      </w:pPr>
    </w:p>
    <w:p w14:paraId="29F1C241" w14:textId="77777777" w:rsidR="0047778D" w:rsidRPr="00F17BE5" w:rsidRDefault="0047778D" w:rsidP="0047778D">
      <w:pPr>
        <w:rPr>
          <w:rFonts w:ascii="Calibri" w:hAnsi="Calibri"/>
          <w:sz w:val="20"/>
          <w:szCs w:val="20"/>
          <w:lang w:val="en-GB"/>
        </w:rPr>
      </w:pPr>
    </w:p>
    <w:p w14:paraId="7507C979" w14:textId="77777777" w:rsidR="0047778D" w:rsidRPr="00F17BE5" w:rsidRDefault="0047778D" w:rsidP="0047778D">
      <w:pPr>
        <w:rPr>
          <w:rFonts w:ascii="Calibri" w:hAnsi="Calibri"/>
          <w:sz w:val="20"/>
          <w:szCs w:val="20"/>
          <w:lang w:val="en-GB"/>
        </w:rPr>
      </w:pPr>
    </w:p>
    <w:p w14:paraId="2F01356E" w14:textId="77777777" w:rsidR="0047778D" w:rsidRPr="00F17BE5" w:rsidRDefault="0047778D" w:rsidP="0047778D">
      <w:pPr>
        <w:rPr>
          <w:rFonts w:ascii="Calibri" w:hAnsi="Calibri"/>
          <w:sz w:val="20"/>
          <w:szCs w:val="20"/>
          <w:lang w:val="en-GB"/>
        </w:rPr>
      </w:pPr>
    </w:p>
    <w:p w14:paraId="275C9E72" w14:textId="77777777" w:rsidR="0047778D" w:rsidRPr="00F17BE5" w:rsidRDefault="0047778D" w:rsidP="0047778D">
      <w:pPr>
        <w:rPr>
          <w:rFonts w:ascii="Calibri" w:hAnsi="Calibri"/>
          <w:sz w:val="20"/>
          <w:szCs w:val="20"/>
          <w:lang w:val="en-GB"/>
        </w:rPr>
      </w:pPr>
    </w:p>
    <w:p w14:paraId="1069D4D1" w14:textId="77777777" w:rsidR="0047778D" w:rsidRPr="00F17BE5" w:rsidRDefault="0047778D" w:rsidP="0047778D">
      <w:pPr>
        <w:rPr>
          <w:rFonts w:ascii="Calibri" w:hAnsi="Calibri"/>
          <w:sz w:val="20"/>
          <w:szCs w:val="20"/>
          <w:lang w:val="en-GB"/>
        </w:rPr>
      </w:pPr>
    </w:p>
    <w:p w14:paraId="3200B6C6" w14:textId="77777777" w:rsidR="0047778D" w:rsidRPr="00F17BE5" w:rsidRDefault="0047778D" w:rsidP="0047778D">
      <w:pPr>
        <w:rPr>
          <w:rFonts w:ascii="Calibri" w:hAnsi="Calibri"/>
          <w:sz w:val="20"/>
          <w:szCs w:val="20"/>
          <w:lang w:val="en-GB"/>
        </w:rPr>
      </w:pPr>
    </w:p>
    <w:p w14:paraId="5B647874" w14:textId="77777777" w:rsidR="0047778D" w:rsidRPr="00F17BE5" w:rsidRDefault="0047778D" w:rsidP="0047778D">
      <w:pPr>
        <w:rPr>
          <w:rFonts w:ascii="Calibri" w:hAnsi="Calibri"/>
          <w:sz w:val="20"/>
          <w:szCs w:val="20"/>
          <w:lang w:val="en-GB"/>
        </w:rPr>
      </w:pPr>
    </w:p>
    <w:p w14:paraId="6B24966D" w14:textId="77777777" w:rsidR="0047778D" w:rsidRPr="00F17BE5" w:rsidRDefault="0047778D" w:rsidP="0047778D">
      <w:pPr>
        <w:rPr>
          <w:rFonts w:ascii="Calibri" w:hAnsi="Calibri"/>
          <w:sz w:val="20"/>
          <w:szCs w:val="20"/>
          <w:lang w:val="en-GB"/>
        </w:rPr>
      </w:pPr>
    </w:p>
    <w:p w14:paraId="5B3F98C6" w14:textId="188A5593" w:rsidR="0047778D" w:rsidRPr="00F17BE5" w:rsidRDefault="0047778D" w:rsidP="0047778D">
      <w:pPr>
        <w:tabs>
          <w:tab w:val="left" w:pos="8445"/>
        </w:tabs>
        <w:rPr>
          <w:rFonts w:ascii="Calibri" w:hAnsi="Calibri"/>
          <w:sz w:val="20"/>
          <w:szCs w:val="20"/>
          <w:lang w:val="en-GB"/>
        </w:rPr>
      </w:pPr>
      <w:r w:rsidRPr="00F17BE5">
        <w:rPr>
          <w:rFonts w:ascii="Calibri" w:hAnsi="Calibri"/>
          <w:sz w:val="20"/>
          <w:szCs w:val="20"/>
          <w:lang w:val="en-GB"/>
        </w:rPr>
        <w:tab/>
      </w:r>
    </w:p>
    <w:p w14:paraId="30E2DA44" w14:textId="0E01B8A7" w:rsidR="0047778D" w:rsidRPr="00F17BE5" w:rsidRDefault="0047778D" w:rsidP="0047778D">
      <w:pPr>
        <w:tabs>
          <w:tab w:val="left" w:pos="8445"/>
        </w:tabs>
        <w:rPr>
          <w:rFonts w:ascii="Calibri" w:hAnsi="Calibri"/>
          <w:sz w:val="20"/>
          <w:szCs w:val="20"/>
          <w:lang w:val="en-GB"/>
        </w:rPr>
        <w:sectPr w:rsidR="0047778D" w:rsidRPr="00F17BE5" w:rsidSect="00A542C5">
          <w:headerReference w:type="even" r:id="rId8"/>
          <w:headerReference w:type="default" r:id="rId9"/>
          <w:footerReference w:type="even" r:id="rId10"/>
          <w:footerReference w:type="default" r:id="rId11"/>
          <w:footerReference w:type="first" r:id="rId12"/>
          <w:pgSz w:w="11910" w:h="16840"/>
          <w:pgMar w:top="2835" w:right="907" w:bottom="2155" w:left="907" w:header="709" w:footer="829" w:gutter="0"/>
          <w:cols w:space="708"/>
          <w:docGrid w:linePitch="299"/>
        </w:sectPr>
      </w:pPr>
      <w:r w:rsidRPr="00F17BE5">
        <w:rPr>
          <w:noProof/>
          <w:lang w:val="en-GB"/>
        </w:rPr>
        <w:drawing>
          <wp:anchor distT="0" distB="0" distL="0" distR="0" simplePos="0" relativeHeight="251659264" behindDoc="1" locked="0" layoutInCell="1" allowOverlap="1" wp14:anchorId="530A7A83" wp14:editId="30349BA5">
            <wp:simplePos x="0" y="0"/>
            <wp:positionH relativeFrom="page">
              <wp:posOffset>5709920</wp:posOffset>
            </wp:positionH>
            <wp:positionV relativeFrom="page">
              <wp:posOffset>9625330</wp:posOffset>
            </wp:positionV>
            <wp:extent cx="1350263" cy="313931"/>
            <wp:effectExtent l="0" t="0" r="2540" b="0"/>
            <wp:wrapNone/>
            <wp:docPr id="2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1350263" cy="313931"/>
                    </a:xfrm>
                    <a:prstGeom prst="rect">
                      <a:avLst/>
                    </a:prstGeom>
                  </pic:spPr>
                </pic:pic>
              </a:graphicData>
            </a:graphic>
            <wp14:sizeRelH relativeFrom="margin">
              <wp14:pctWidth>0</wp14:pctWidth>
            </wp14:sizeRelH>
            <wp14:sizeRelV relativeFrom="margin">
              <wp14:pctHeight>0</wp14:pctHeight>
            </wp14:sizeRelV>
          </wp:anchor>
        </w:drawing>
      </w:r>
      <w:r w:rsidRPr="00F17BE5">
        <w:rPr>
          <w:rFonts w:ascii="Calibri" w:hAnsi="Calibri"/>
          <w:sz w:val="20"/>
          <w:szCs w:val="20"/>
          <w:lang w:val="en-GB"/>
        </w:rPr>
        <w:tab/>
      </w:r>
    </w:p>
    <w:p w14:paraId="08E31B37" w14:textId="71710CE6" w:rsidR="006B12F2" w:rsidRPr="00F17BE5" w:rsidRDefault="006B12F2" w:rsidP="006B12F2">
      <w:pPr>
        <w:jc w:val="both"/>
        <w:rPr>
          <w:b/>
          <w:color w:val="800000"/>
          <w:sz w:val="24"/>
          <w:szCs w:val="24"/>
          <w:lang w:val="en-GB"/>
        </w:rPr>
      </w:pPr>
      <w:r w:rsidRPr="00F17BE5">
        <w:rPr>
          <w:b/>
          <w:color w:val="800000"/>
          <w:sz w:val="24"/>
          <w:szCs w:val="24"/>
          <w:lang w:val="en-GB"/>
        </w:rPr>
        <w:lastRenderedPageBreak/>
        <w:t>Proje</w:t>
      </w:r>
      <w:r w:rsidR="00C97F4F" w:rsidRPr="00F17BE5">
        <w:rPr>
          <w:b/>
          <w:color w:val="800000"/>
          <w:sz w:val="24"/>
          <w:szCs w:val="24"/>
          <w:lang w:val="en-GB"/>
        </w:rPr>
        <w:t>c</w:t>
      </w:r>
      <w:r w:rsidRPr="00F17BE5">
        <w:rPr>
          <w:b/>
          <w:color w:val="800000"/>
          <w:sz w:val="24"/>
          <w:szCs w:val="24"/>
          <w:lang w:val="en-GB"/>
        </w:rPr>
        <w:t>t "</w:t>
      </w:r>
      <w:r w:rsidR="00C97F4F" w:rsidRPr="00F17BE5">
        <w:rPr>
          <w:b/>
          <w:color w:val="800000"/>
          <w:sz w:val="24"/>
          <w:szCs w:val="24"/>
          <w:lang w:val="en-GB"/>
        </w:rPr>
        <w:t>Integration of Key Competences in the Education System of Montenegro</w:t>
      </w:r>
      <w:r w:rsidRPr="00F17BE5">
        <w:rPr>
          <w:b/>
          <w:color w:val="800000"/>
          <w:sz w:val="24"/>
          <w:szCs w:val="24"/>
          <w:lang w:val="en-GB"/>
        </w:rPr>
        <w:t>"</w:t>
      </w:r>
    </w:p>
    <w:p w14:paraId="0B97BB11" w14:textId="3E06B5D8" w:rsidR="006B12F2" w:rsidRPr="00F17BE5" w:rsidRDefault="00C97F4F" w:rsidP="006B12F2">
      <w:pPr>
        <w:jc w:val="both"/>
        <w:rPr>
          <w:bCs/>
          <w:lang w:val="en-GB"/>
        </w:rPr>
      </w:pPr>
      <w:r w:rsidRPr="00F17BE5">
        <w:rPr>
          <w:bCs/>
          <w:lang w:val="en-GB"/>
        </w:rPr>
        <w:t>Co</w:t>
      </w:r>
      <w:r w:rsidR="00F17BE5">
        <w:rPr>
          <w:bCs/>
          <w:lang w:val="en-GB"/>
        </w:rPr>
        <w:t>-</w:t>
      </w:r>
      <w:r w:rsidRPr="00F17BE5">
        <w:rPr>
          <w:bCs/>
          <w:lang w:val="en-GB"/>
        </w:rPr>
        <w:t xml:space="preserve">financed by the EU and the </w:t>
      </w:r>
      <w:r w:rsidR="00F17BE5" w:rsidRPr="00F17BE5">
        <w:rPr>
          <w:bCs/>
          <w:lang w:val="en-GB"/>
        </w:rPr>
        <w:t>Government</w:t>
      </w:r>
      <w:r w:rsidRPr="00F17BE5">
        <w:rPr>
          <w:bCs/>
          <w:lang w:val="en-GB"/>
        </w:rPr>
        <w:t xml:space="preserve"> of Montenegro, implemented by the EPRD consortium </w:t>
      </w:r>
    </w:p>
    <w:p w14:paraId="56F0237C" w14:textId="77777777" w:rsidR="006B12F2" w:rsidRPr="00F17BE5" w:rsidRDefault="006B12F2" w:rsidP="006B12F2">
      <w:pPr>
        <w:jc w:val="both"/>
        <w:rPr>
          <w:b/>
          <w:sz w:val="20"/>
          <w:szCs w:val="20"/>
          <w:lang w:val="en-GB"/>
        </w:rPr>
      </w:pPr>
    </w:p>
    <w:p w14:paraId="558E419C" w14:textId="5DF12739" w:rsidR="006B12F2" w:rsidRPr="00F17BE5" w:rsidRDefault="006B12F2" w:rsidP="006B12F2">
      <w:pPr>
        <w:jc w:val="both"/>
        <w:rPr>
          <w:bCs/>
          <w:sz w:val="20"/>
          <w:szCs w:val="20"/>
          <w:lang w:val="en-GB"/>
        </w:rPr>
      </w:pPr>
      <w:r w:rsidRPr="00F17BE5">
        <w:rPr>
          <w:b/>
          <w:color w:val="800000"/>
          <w:sz w:val="20"/>
          <w:szCs w:val="20"/>
          <w:lang w:val="en-GB"/>
        </w:rPr>
        <w:t>Ver</w:t>
      </w:r>
      <w:r w:rsidR="00C97F4F" w:rsidRPr="00F17BE5">
        <w:rPr>
          <w:b/>
          <w:color w:val="800000"/>
          <w:sz w:val="20"/>
          <w:szCs w:val="20"/>
          <w:lang w:val="en-GB"/>
        </w:rPr>
        <w:t>sion</w:t>
      </w:r>
      <w:r w:rsidRPr="00F17BE5">
        <w:rPr>
          <w:b/>
          <w:color w:val="800000"/>
          <w:sz w:val="20"/>
          <w:szCs w:val="20"/>
          <w:lang w:val="en-GB"/>
        </w:rPr>
        <w:t>:</w:t>
      </w:r>
      <w:r w:rsidRPr="00F17BE5">
        <w:rPr>
          <w:b/>
          <w:sz w:val="20"/>
          <w:szCs w:val="20"/>
          <w:lang w:val="en-GB"/>
        </w:rPr>
        <w:t xml:space="preserve"> </w:t>
      </w:r>
      <w:r w:rsidRPr="00F17BE5">
        <w:rPr>
          <w:bCs/>
          <w:sz w:val="20"/>
          <w:szCs w:val="20"/>
          <w:lang w:val="en-GB"/>
        </w:rPr>
        <w:t>31</w:t>
      </w:r>
      <w:r w:rsidR="00C97F4F" w:rsidRPr="00F17BE5">
        <w:rPr>
          <w:bCs/>
          <w:sz w:val="20"/>
          <w:szCs w:val="20"/>
          <w:lang w:val="en-GB"/>
        </w:rPr>
        <w:t xml:space="preserve"> August </w:t>
      </w:r>
      <w:r w:rsidRPr="00F17BE5">
        <w:rPr>
          <w:bCs/>
          <w:sz w:val="20"/>
          <w:szCs w:val="20"/>
          <w:lang w:val="en-GB"/>
        </w:rPr>
        <w:t>2020</w:t>
      </w:r>
    </w:p>
    <w:p w14:paraId="35FDFA72" w14:textId="6952326E" w:rsidR="00E45125" w:rsidRPr="00F17BE5" w:rsidRDefault="00E45125" w:rsidP="00A542C5">
      <w:pPr>
        <w:jc w:val="both"/>
        <w:rPr>
          <w:bCs/>
          <w:sz w:val="18"/>
          <w:szCs w:val="18"/>
          <w:lang w:val="en-GB"/>
        </w:rPr>
      </w:pPr>
    </w:p>
    <w:sdt>
      <w:sdtPr>
        <w:rPr>
          <w:rFonts w:ascii="Roboto" w:eastAsia="Roboto" w:hAnsi="Roboto" w:cs="Roboto"/>
          <w:b w:val="0"/>
          <w:bCs w:val="0"/>
          <w:color w:val="auto"/>
          <w:sz w:val="22"/>
          <w:szCs w:val="22"/>
          <w:lang w:val="en-GB" w:eastAsia="pl-PL" w:bidi="pl-PL"/>
        </w:rPr>
        <w:id w:val="-389338163"/>
        <w:docPartObj>
          <w:docPartGallery w:val="Table of Contents"/>
          <w:docPartUnique/>
        </w:docPartObj>
      </w:sdtPr>
      <w:sdtEndPr>
        <w:rPr>
          <w:noProof/>
        </w:rPr>
      </w:sdtEndPr>
      <w:sdtContent>
        <w:p w14:paraId="5294FCA4" w14:textId="2101DB99" w:rsidR="00A542C5" w:rsidRPr="00F17BE5" w:rsidRDefault="00C97F4F" w:rsidP="00A542C5">
          <w:pPr>
            <w:pStyle w:val="TOCHeading"/>
            <w:rPr>
              <w:rFonts w:ascii="Arial" w:hAnsi="Arial" w:cs="Arial"/>
              <w:color w:val="800000"/>
              <w:lang w:val="en-GB"/>
            </w:rPr>
          </w:pPr>
          <w:r w:rsidRPr="00F17BE5">
            <w:rPr>
              <w:rFonts w:ascii="Arial" w:hAnsi="Arial" w:cs="Arial"/>
              <w:color w:val="800000"/>
              <w:lang w:val="en-GB"/>
            </w:rPr>
            <w:t>Content</w:t>
          </w:r>
        </w:p>
        <w:p w14:paraId="328A61B1" w14:textId="68EE4848" w:rsidR="007F087A" w:rsidRPr="007F087A" w:rsidRDefault="00A542C5">
          <w:pPr>
            <w:pStyle w:val="TOC1"/>
            <w:tabs>
              <w:tab w:val="left" w:pos="720"/>
              <w:tab w:val="right" w:leader="dot" w:pos="10086"/>
            </w:tabs>
            <w:rPr>
              <w:rFonts w:eastAsiaTheme="minorEastAsia" w:cstheme="minorBidi"/>
              <w:b w:val="0"/>
              <w:bCs w:val="0"/>
              <w:i w:val="0"/>
              <w:iCs w:val="0"/>
              <w:noProof/>
              <w:sz w:val="22"/>
              <w:szCs w:val="22"/>
              <w:lang w:val="en-US" w:eastAsia="en-US" w:bidi="ar-SA"/>
            </w:rPr>
          </w:pPr>
          <w:r w:rsidRPr="00F17BE5">
            <w:rPr>
              <w:rFonts w:ascii="Arial" w:hAnsi="Arial" w:cs="Arial"/>
              <w:b w:val="0"/>
              <w:bCs w:val="0"/>
              <w:sz w:val="20"/>
              <w:szCs w:val="20"/>
              <w:lang w:val="en-GB"/>
            </w:rPr>
            <w:fldChar w:fldCharType="begin"/>
          </w:r>
          <w:r w:rsidRPr="00F17BE5">
            <w:rPr>
              <w:rFonts w:ascii="Arial" w:hAnsi="Arial" w:cs="Arial"/>
              <w:b w:val="0"/>
              <w:bCs w:val="0"/>
              <w:sz w:val="20"/>
              <w:szCs w:val="20"/>
              <w:lang w:val="en-GB"/>
            </w:rPr>
            <w:instrText xml:space="preserve"> TOC \o "1-3" \h \z \u </w:instrText>
          </w:r>
          <w:r w:rsidRPr="00F17BE5">
            <w:rPr>
              <w:rFonts w:ascii="Arial" w:hAnsi="Arial" w:cs="Arial"/>
              <w:b w:val="0"/>
              <w:bCs w:val="0"/>
              <w:sz w:val="20"/>
              <w:szCs w:val="20"/>
              <w:lang w:val="en-GB"/>
            </w:rPr>
            <w:fldChar w:fldCharType="separate"/>
          </w:r>
          <w:hyperlink w:anchor="_Toc52815344" w:history="1">
            <w:r w:rsidR="007F087A" w:rsidRPr="007F087A">
              <w:rPr>
                <w:rStyle w:val="Hyperlink"/>
                <w:rFonts w:ascii="Arial" w:hAnsi="Arial" w:cs="Arial"/>
                <w:noProof/>
                <w:sz w:val="22"/>
                <w:szCs w:val="22"/>
                <w:lang w:val="en-GB"/>
              </w:rPr>
              <w:t>1.</w:t>
            </w:r>
            <w:r w:rsidR="007F087A" w:rsidRPr="007F087A">
              <w:rPr>
                <w:rFonts w:eastAsiaTheme="minorEastAsia" w:cstheme="minorBidi"/>
                <w:b w:val="0"/>
                <w:bCs w:val="0"/>
                <w:i w:val="0"/>
                <w:iCs w:val="0"/>
                <w:noProof/>
                <w:sz w:val="22"/>
                <w:szCs w:val="22"/>
                <w:lang w:val="en-US" w:eastAsia="en-US" w:bidi="ar-SA"/>
              </w:rPr>
              <w:tab/>
            </w:r>
            <w:r w:rsidR="007F087A" w:rsidRPr="007F087A">
              <w:rPr>
                <w:rStyle w:val="Hyperlink"/>
                <w:rFonts w:ascii="Arial" w:hAnsi="Arial" w:cs="Arial"/>
                <w:noProof/>
                <w:sz w:val="22"/>
                <w:szCs w:val="22"/>
                <w:lang w:val="en-GB"/>
              </w:rPr>
              <w:t>Short overview of issues and discussions</w:t>
            </w:r>
            <w:r w:rsidR="007F087A" w:rsidRPr="007F087A">
              <w:rPr>
                <w:noProof/>
                <w:webHidden/>
                <w:sz w:val="22"/>
                <w:szCs w:val="22"/>
              </w:rPr>
              <w:tab/>
            </w:r>
            <w:r w:rsidR="007F087A" w:rsidRPr="007F087A">
              <w:rPr>
                <w:noProof/>
                <w:webHidden/>
                <w:sz w:val="22"/>
                <w:szCs w:val="22"/>
              </w:rPr>
              <w:fldChar w:fldCharType="begin"/>
            </w:r>
            <w:r w:rsidR="007F087A" w:rsidRPr="007F087A">
              <w:rPr>
                <w:noProof/>
                <w:webHidden/>
                <w:sz w:val="22"/>
                <w:szCs w:val="22"/>
              </w:rPr>
              <w:instrText xml:space="preserve"> PAGEREF _Toc52815344 \h </w:instrText>
            </w:r>
            <w:r w:rsidR="007F087A" w:rsidRPr="007F087A">
              <w:rPr>
                <w:noProof/>
                <w:webHidden/>
                <w:sz w:val="22"/>
                <w:szCs w:val="22"/>
              </w:rPr>
            </w:r>
            <w:r w:rsidR="007F087A" w:rsidRPr="007F087A">
              <w:rPr>
                <w:noProof/>
                <w:webHidden/>
                <w:sz w:val="22"/>
                <w:szCs w:val="22"/>
              </w:rPr>
              <w:fldChar w:fldCharType="separate"/>
            </w:r>
            <w:r w:rsidR="007F087A" w:rsidRPr="007F087A">
              <w:rPr>
                <w:noProof/>
                <w:webHidden/>
                <w:sz w:val="22"/>
                <w:szCs w:val="22"/>
              </w:rPr>
              <w:t>3</w:t>
            </w:r>
            <w:r w:rsidR="007F087A" w:rsidRPr="007F087A">
              <w:rPr>
                <w:noProof/>
                <w:webHidden/>
                <w:sz w:val="22"/>
                <w:szCs w:val="22"/>
              </w:rPr>
              <w:fldChar w:fldCharType="end"/>
            </w:r>
          </w:hyperlink>
        </w:p>
        <w:p w14:paraId="01D2A084" w14:textId="76874AC9" w:rsidR="007F087A" w:rsidRPr="007F087A" w:rsidRDefault="006910F6">
          <w:pPr>
            <w:pStyle w:val="TOC1"/>
            <w:tabs>
              <w:tab w:val="left" w:pos="720"/>
              <w:tab w:val="right" w:leader="dot" w:pos="10086"/>
            </w:tabs>
            <w:rPr>
              <w:rFonts w:eastAsiaTheme="minorEastAsia" w:cstheme="minorBidi"/>
              <w:b w:val="0"/>
              <w:bCs w:val="0"/>
              <w:i w:val="0"/>
              <w:iCs w:val="0"/>
              <w:noProof/>
              <w:sz w:val="22"/>
              <w:szCs w:val="22"/>
              <w:lang w:val="en-US" w:eastAsia="en-US" w:bidi="ar-SA"/>
            </w:rPr>
          </w:pPr>
          <w:hyperlink w:anchor="_Toc52815345" w:history="1">
            <w:r w:rsidR="007F087A" w:rsidRPr="007F087A">
              <w:rPr>
                <w:rStyle w:val="Hyperlink"/>
                <w:rFonts w:ascii="Arial" w:hAnsi="Arial" w:cs="Arial"/>
                <w:noProof/>
                <w:sz w:val="22"/>
                <w:szCs w:val="22"/>
                <w:lang w:val="en-GB"/>
              </w:rPr>
              <w:t>2.</w:t>
            </w:r>
            <w:r w:rsidR="007F087A" w:rsidRPr="007F087A">
              <w:rPr>
                <w:rFonts w:eastAsiaTheme="minorEastAsia" w:cstheme="minorBidi"/>
                <w:b w:val="0"/>
                <w:bCs w:val="0"/>
                <w:i w:val="0"/>
                <w:iCs w:val="0"/>
                <w:noProof/>
                <w:sz w:val="22"/>
                <w:szCs w:val="22"/>
                <w:lang w:val="en-US" w:eastAsia="en-US" w:bidi="ar-SA"/>
              </w:rPr>
              <w:tab/>
            </w:r>
            <w:r w:rsidR="007F087A" w:rsidRPr="007F087A">
              <w:rPr>
                <w:rStyle w:val="Hyperlink"/>
                <w:rFonts w:ascii="Arial" w:hAnsi="Arial" w:cs="Arial"/>
                <w:noProof/>
                <w:sz w:val="22"/>
                <w:szCs w:val="22"/>
                <w:lang w:val="en-GB"/>
              </w:rPr>
              <w:t>Project: Integration of Key Competences in the Education System of Montenegro</w:t>
            </w:r>
            <w:r w:rsidR="007F087A" w:rsidRPr="007F087A">
              <w:rPr>
                <w:noProof/>
                <w:webHidden/>
                <w:sz w:val="22"/>
                <w:szCs w:val="22"/>
              </w:rPr>
              <w:tab/>
            </w:r>
            <w:r w:rsidR="007F087A" w:rsidRPr="007F087A">
              <w:rPr>
                <w:noProof/>
                <w:webHidden/>
                <w:sz w:val="22"/>
                <w:szCs w:val="22"/>
              </w:rPr>
              <w:fldChar w:fldCharType="begin"/>
            </w:r>
            <w:r w:rsidR="007F087A" w:rsidRPr="007F087A">
              <w:rPr>
                <w:noProof/>
                <w:webHidden/>
                <w:sz w:val="22"/>
                <w:szCs w:val="22"/>
              </w:rPr>
              <w:instrText xml:space="preserve"> PAGEREF _Toc52815345 \h </w:instrText>
            </w:r>
            <w:r w:rsidR="007F087A" w:rsidRPr="007F087A">
              <w:rPr>
                <w:noProof/>
                <w:webHidden/>
                <w:sz w:val="22"/>
                <w:szCs w:val="22"/>
              </w:rPr>
            </w:r>
            <w:r w:rsidR="007F087A" w:rsidRPr="007F087A">
              <w:rPr>
                <w:noProof/>
                <w:webHidden/>
                <w:sz w:val="22"/>
                <w:szCs w:val="22"/>
              </w:rPr>
              <w:fldChar w:fldCharType="separate"/>
            </w:r>
            <w:r w:rsidR="007F087A" w:rsidRPr="007F087A">
              <w:rPr>
                <w:noProof/>
                <w:webHidden/>
                <w:sz w:val="22"/>
                <w:szCs w:val="22"/>
              </w:rPr>
              <w:t>5</w:t>
            </w:r>
            <w:r w:rsidR="007F087A" w:rsidRPr="007F087A">
              <w:rPr>
                <w:noProof/>
                <w:webHidden/>
                <w:sz w:val="22"/>
                <w:szCs w:val="22"/>
              </w:rPr>
              <w:fldChar w:fldCharType="end"/>
            </w:r>
          </w:hyperlink>
        </w:p>
        <w:p w14:paraId="086499EF" w14:textId="71BE3431" w:rsidR="007F087A" w:rsidRPr="007F087A" w:rsidRDefault="006910F6">
          <w:pPr>
            <w:pStyle w:val="TOC1"/>
            <w:tabs>
              <w:tab w:val="left" w:pos="720"/>
              <w:tab w:val="right" w:leader="dot" w:pos="10086"/>
            </w:tabs>
            <w:rPr>
              <w:rFonts w:eastAsiaTheme="minorEastAsia" w:cstheme="minorBidi"/>
              <w:b w:val="0"/>
              <w:bCs w:val="0"/>
              <w:i w:val="0"/>
              <w:iCs w:val="0"/>
              <w:noProof/>
              <w:sz w:val="22"/>
              <w:szCs w:val="22"/>
              <w:lang w:val="en-US" w:eastAsia="en-US" w:bidi="ar-SA"/>
            </w:rPr>
          </w:pPr>
          <w:hyperlink w:anchor="_Toc52815346" w:history="1">
            <w:r w:rsidR="007F087A" w:rsidRPr="007F087A">
              <w:rPr>
                <w:rStyle w:val="Hyperlink"/>
                <w:rFonts w:ascii="Arial" w:hAnsi="Arial" w:cs="Arial"/>
                <w:noProof/>
                <w:sz w:val="22"/>
                <w:szCs w:val="22"/>
                <w:lang w:val="en-GB"/>
              </w:rPr>
              <w:t>3.</w:t>
            </w:r>
            <w:r w:rsidR="007F087A" w:rsidRPr="007F087A">
              <w:rPr>
                <w:rFonts w:eastAsiaTheme="minorEastAsia" w:cstheme="minorBidi"/>
                <w:b w:val="0"/>
                <w:bCs w:val="0"/>
                <w:i w:val="0"/>
                <w:iCs w:val="0"/>
                <w:noProof/>
                <w:sz w:val="22"/>
                <w:szCs w:val="22"/>
                <w:lang w:val="en-US" w:eastAsia="en-US" w:bidi="ar-SA"/>
              </w:rPr>
              <w:tab/>
            </w:r>
            <w:r w:rsidR="007F087A" w:rsidRPr="007F087A">
              <w:rPr>
                <w:rStyle w:val="Hyperlink"/>
                <w:rFonts w:ascii="Arial" w:hAnsi="Arial" w:cs="Arial"/>
                <w:noProof/>
                <w:sz w:val="22"/>
                <w:szCs w:val="22"/>
                <w:lang w:val="en-GB"/>
              </w:rPr>
              <w:t>Proposal of activities</w:t>
            </w:r>
            <w:r w:rsidR="007F087A" w:rsidRPr="007F087A">
              <w:rPr>
                <w:noProof/>
                <w:webHidden/>
                <w:sz w:val="22"/>
                <w:szCs w:val="22"/>
              </w:rPr>
              <w:tab/>
            </w:r>
            <w:r w:rsidR="007F087A" w:rsidRPr="007F087A">
              <w:rPr>
                <w:noProof/>
                <w:webHidden/>
                <w:sz w:val="22"/>
                <w:szCs w:val="22"/>
              </w:rPr>
              <w:fldChar w:fldCharType="begin"/>
            </w:r>
            <w:r w:rsidR="007F087A" w:rsidRPr="007F087A">
              <w:rPr>
                <w:noProof/>
                <w:webHidden/>
                <w:sz w:val="22"/>
                <w:szCs w:val="22"/>
              </w:rPr>
              <w:instrText xml:space="preserve"> PAGEREF _Toc52815346 \h </w:instrText>
            </w:r>
            <w:r w:rsidR="007F087A" w:rsidRPr="007F087A">
              <w:rPr>
                <w:noProof/>
                <w:webHidden/>
                <w:sz w:val="22"/>
                <w:szCs w:val="22"/>
              </w:rPr>
            </w:r>
            <w:r w:rsidR="007F087A" w:rsidRPr="007F087A">
              <w:rPr>
                <w:noProof/>
                <w:webHidden/>
                <w:sz w:val="22"/>
                <w:szCs w:val="22"/>
              </w:rPr>
              <w:fldChar w:fldCharType="separate"/>
            </w:r>
            <w:r w:rsidR="007F087A" w:rsidRPr="007F087A">
              <w:rPr>
                <w:noProof/>
                <w:webHidden/>
                <w:sz w:val="22"/>
                <w:szCs w:val="22"/>
              </w:rPr>
              <w:t>6</w:t>
            </w:r>
            <w:r w:rsidR="007F087A" w:rsidRPr="007F087A">
              <w:rPr>
                <w:noProof/>
                <w:webHidden/>
                <w:sz w:val="22"/>
                <w:szCs w:val="22"/>
              </w:rPr>
              <w:fldChar w:fldCharType="end"/>
            </w:r>
          </w:hyperlink>
        </w:p>
        <w:p w14:paraId="756B10D5" w14:textId="16721F39" w:rsidR="00A542C5" w:rsidRPr="00F17BE5" w:rsidRDefault="00A542C5" w:rsidP="00A542C5">
          <w:pPr>
            <w:rPr>
              <w:lang w:val="en-GB"/>
            </w:rPr>
          </w:pPr>
          <w:r w:rsidRPr="00F17BE5">
            <w:rPr>
              <w:rFonts w:ascii="Arial" w:hAnsi="Arial" w:cs="Arial"/>
              <w:b/>
              <w:bCs/>
              <w:noProof/>
              <w:sz w:val="20"/>
              <w:szCs w:val="20"/>
              <w:lang w:val="en-GB"/>
            </w:rPr>
            <w:fldChar w:fldCharType="end"/>
          </w:r>
        </w:p>
      </w:sdtContent>
    </w:sdt>
    <w:p w14:paraId="384A8260" w14:textId="77777777" w:rsidR="00C07939" w:rsidRPr="00F17BE5" w:rsidRDefault="00C07939" w:rsidP="00A542C5">
      <w:pPr>
        <w:rPr>
          <w:bCs/>
          <w:sz w:val="24"/>
          <w:szCs w:val="24"/>
          <w:lang w:val="en-GB"/>
        </w:rPr>
      </w:pPr>
    </w:p>
    <w:p w14:paraId="2F44551D" w14:textId="77777777" w:rsidR="00C07939" w:rsidRPr="00F17BE5" w:rsidRDefault="00C07939" w:rsidP="00A542C5">
      <w:pPr>
        <w:rPr>
          <w:bCs/>
          <w:sz w:val="24"/>
          <w:szCs w:val="24"/>
          <w:lang w:val="en-GB"/>
        </w:rPr>
      </w:pPr>
    </w:p>
    <w:p w14:paraId="76930E0A" w14:textId="7F4CE30F" w:rsidR="00C07939" w:rsidRPr="00F17BE5" w:rsidRDefault="00C07939" w:rsidP="00A542C5">
      <w:pPr>
        <w:rPr>
          <w:bCs/>
          <w:sz w:val="24"/>
          <w:szCs w:val="24"/>
          <w:lang w:val="en-GB"/>
        </w:rPr>
      </w:pPr>
    </w:p>
    <w:p w14:paraId="43AFA7E4" w14:textId="21C660B3" w:rsidR="00C07939" w:rsidRPr="00F17BE5" w:rsidRDefault="00C07939" w:rsidP="00A542C5">
      <w:pPr>
        <w:rPr>
          <w:bCs/>
          <w:sz w:val="24"/>
          <w:szCs w:val="24"/>
          <w:lang w:val="en-GB"/>
        </w:rPr>
      </w:pPr>
    </w:p>
    <w:p w14:paraId="527882C0" w14:textId="743CE3C7" w:rsidR="00C07939" w:rsidRPr="00F17BE5" w:rsidRDefault="00C07939" w:rsidP="00A542C5">
      <w:pPr>
        <w:rPr>
          <w:bCs/>
          <w:sz w:val="24"/>
          <w:szCs w:val="24"/>
          <w:lang w:val="en-GB"/>
        </w:rPr>
      </w:pPr>
    </w:p>
    <w:p w14:paraId="5EFB35F0" w14:textId="665120B6" w:rsidR="00C07939" w:rsidRPr="00F17BE5" w:rsidRDefault="00C07939" w:rsidP="00A542C5">
      <w:pPr>
        <w:rPr>
          <w:bCs/>
          <w:sz w:val="24"/>
          <w:szCs w:val="24"/>
          <w:lang w:val="en-GB"/>
        </w:rPr>
      </w:pPr>
    </w:p>
    <w:p w14:paraId="5160CEDE" w14:textId="09ECF1F2" w:rsidR="00C07939" w:rsidRPr="00F17BE5" w:rsidRDefault="00C07939" w:rsidP="00A542C5">
      <w:pPr>
        <w:rPr>
          <w:bCs/>
          <w:sz w:val="24"/>
          <w:szCs w:val="24"/>
          <w:lang w:val="en-GB"/>
        </w:rPr>
      </w:pPr>
    </w:p>
    <w:p w14:paraId="620A757A" w14:textId="4649BBBC" w:rsidR="00C07939" w:rsidRPr="00F17BE5" w:rsidRDefault="00C07939" w:rsidP="00A542C5">
      <w:pPr>
        <w:rPr>
          <w:bCs/>
          <w:sz w:val="24"/>
          <w:szCs w:val="24"/>
          <w:lang w:val="en-GB"/>
        </w:rPr>
      </w:pPr>
    </w:p>
    <w:p w14:paraId="15B40327" w14:textId="35E99934" w:rsidR="00C07939" w:rsidRPr="00F17BE5" w:rsidRDefault="00C07939" w:rsidP="00A542C5">
      <w:pPr>
        <w:rPr>
          <w:bCs/>
          <w:sz w:val="24"/>
          <w:szCs w:val="24"/>
          <w:lang w:val="en-GB"/>
        </w:rPr>
      </w:pPr>
    </w:p>
    <w:p w14:paraId="5DA735E8" w14:textId="72CBF333" w:rsidR="00C07939" w:rsidRPr="00F17BE5" w:rsidRDefault="00C07939" w:rsidP="00A542C5">
      <w:pPr>
        <w:rPr>
          <w:bCs/>
          <w:sz w:val="24"/>
          <w:szCs w:val="24"/>
          <w:lang w:val="en-GB"/>
        </w:rPr>
      </w:pPr>
    </w:p>
    <w:p w14:paraId="153DD747" w14:textId="00787A11" w:rsidR="00C07939" w:rsidRPr="00F17BE5" w:rsidRDefault="00C07939" w:rsidP="00A542C5">
      <w:pPr>
        <w:rPr>
          <w:bCs/>
          <w:sz w:val="24"/>
          <w:szCs w:val="24"/>
          <w:lang w:val="en-GB"/>
        </w:rPr>
      </w:pPr>
    </w:p>
    <w:p w14:paraId="28EF854A" w14:textId="07D93AAF" w:rsidR="00C07939" w:rsidRPr="00F17BE5" w:rsidRDefault="00C07939" w:rsidP="00A542C5">
      <w:pPr>
        <w:rPr>
          <w:bCs/>
          <w:sz w:val="24"/>
          <w:szCs w:val="24"/>
          <w:lang w:val="en-GB"/>
        </w:rPr>
      </w:pPr>
    </w:p>
    <w:p w14:paraId="33ACFF8A" w14:textId="0ED4168F" w:rsidR="00C07939" w:rsidRPr="00F17BE5" w:rsidRDefault="00C07939" w:rsidP="00A542C5">
      <w:pPr>
        <w:rPr>
          <w:bCs/>
          <w:sz w:val="24"/>
          <w:szCs w:val="24"/>
          <w:lang w:val="en-GB"/>
        </w:rPr>
      </w:pPr>
    </w:p>
    <w:p w14:paraId="7972175E" w14:textId="28F7682C" w:rsidR="00C07939" w:rsidRPr="00F17BE5" w:rsidRDefault="00C07939" w:rsidP="00A542C5">
      <w:pPr>
        <w:rPr>
          <w:bCs/>
          <w:sz w:val="24"/>
          <w:szCs w:val="24"/>
          <w:lang w:val="en-GB"/>
        </w:rPr>
      </w:pPr>
    </w:p>
    <w:p w14:paraId="36643B53" w14:textId="3E44A2BD" w:rsidR="00C07939" w:rsidRPr="00F17BE5" w:rsidRDefault="00C07939" w:rsidP="00A542C5">
      <w:pPr>
        <w:rPr>
          <w:bCs/>
          <w:sz w:val="24"/>
          <w:szCs w:val="24"/>
          <w:lang w:val="en-GB"/>
        </w:rPr>
      </w:pPr>
    </w:p>
    <w:p w14:paraId="6A24005A" w14:textId="022E78C8" w:rsidR="00C07939" w:rsidRPr="00F17BE5" w:rsidRDefault="00C07939" w:rsidP="00A542C5">
      <w:pPr>
        <w:rPr>
          <w:bCs/>
          <w:sz w:val="24"/>
          <w:szCs w:val="24"/>
          <w:lang w:val="en-GB"/>
        </w:rPr>
      </w:pPr>
    </w:p>
    <w:p w14:paraId="4BDC3C57" w14:textId="5B03AB79" w:rsidR="00C07939" w:rsidRPr="00F17BE5" w:rsidRDefault="00C07939" w:rsidP="00A542C5">
      <w:pPr>
        <w:rPr>
          <w:bCs/>
          <w:sz w:val="24"/>
          <w:szCs w:val="24"/>
          <w:lang w:val="en-GB"/>
        </w:rPr>
      </w:pPr>
    </w:p>
    <w:p w14:paraId="36D637F2" w14:textId="532D0379" w:rsidR="00C07939" w:rsidRPr="00F17BE5" w:rsidRDefault="00C07939" w:rsidP="00A542C5">
      <w:pPr>
        <w:rPr>
          <w:bCs/>
          <w:sz w:val="24"/>
          <w:szCs w:val="24"/>
          <w:lang w:val="en-GB"/>
        </w:rPr>
      </w:pPr>
    </w:p>
    <w:p w14:paraId="00EB1A85" w14:textId="56650076" w:rsidR="00C07939" w:rsidRPr="00F17BE5" w:rsidRDefault="00C07939" w:rsidP="00A542C5">
      <w:pPr>
        <w:rPr>
          <w:bCs/>
          <w:sz w:val="24"/>
          <w:szCs w:val="24"/>
          <w:lang w:val="en-GB"/>
        </w:rPr>
      </w:pPr>
    </w:p>
    <w:p w14:paraId="7BCF85C8" w14:textId="634C49EF" w:rsidR="00C07939" w:rsidRPr="00F17BE5" w:rsidRDefault="00C07939" w:rsidP="00A542C5">
      <w:pPr>
        <w:rPr>
          <w:bCs/>
          <w:sz w:val="24"/>
          <w:szCs w:val="24"/>
          <w:lang w:val="en-GB"/>
        </w:rPr>
      </w:pPr>
    </w:p>
    <w:p w14:paraId="00BD2E78" w14:textId="74AC607F" w:rsidR="00C07939" w:rsidRPr="00F17BE5" w:rsidRDefault="00C07939" w:rsidP="00A542C5">
      <w:pPr>
        <w:rPr>
          <w:bCs/>
          <w:sz w:val="24"/>
          <w:szCs w:val="24"/>
          <w:lang w:val="en-GB"/>
        </w:rPr>
      </w:pPr>
    </w:p>
    <w:p w14:paraId="13FEDD1B" w14:textId="3375024B" w:rsidR="00C07939" w:rsidRPr="00F17BE5" w:rsidRDefault="00C07939" w:rsidP="00A542C5">
      <w:pPr>
        <w:rPr>
          <w:bCs/>
          <w:sz w:val="24"/>
          <w:szCs w:val="24"/>
          <w:lang w:val="en-GB"/>
        </w:rPr>
      </w:pPr>
    </w:p>
    <w:p w14:paraId="2AE5B48A" w14:textId="494BDBF0" w:rsidR="00C07939" w:rsidRPr="00F17BE5" w:rsidRDefault="00C07939" w:rsidP="00A542C5">
      <w:pPr>
        <w:rPr>
          <w:bCs/>
          <w:sz w:val="24"/>
          <w:szCs w:val="24"/>
          <w:lang w:val="en-GB"/>
        </w:rPr>
      </w:pPr>
    </w:p>
    <w:p w14:paraId="7E415CCD" w14:textId="2C9223C7" w:rsidR="00C07939" w:rsidRPr="00F17BE5" w:rsidRDefault="00C07939" w:rsidP="00A542C5">
      <w:pPr>
        <w:rPr>
          <w:bCs/>
          <w:sz w:val="24"/>
          <w:szCs w:val="24"/>
          <w:lang w:val="en-GB"/>
        </w:rPr>
      </w:pPr>
    </w:p>
    <w:p w14:paraId="7D735425" w14:textId="4C6FFAE3" w:rsidR="00C07939" w:rsidRPr="00F17BE5" w:rsidRDefault="00C07939" w:rsidP="00A542C5">
      <w:pPr>
        <w:rPr>
          <w:bCs/>
          <w:sz w:val="24"/>
          <w:szCs w:val="24"/>
          <w:lang w:val="en-GB"/>
        </w:rPr>
      </w:pPr>
    </w:p>
    <w:p w14:paraId="7EF8C295" w14:textId="284DD274" w:rsidR="00C07939" w:rsidRPr="00F17BE5" w:rsidRDefault="00C07939" w:rsidP="00A542C5">
      <w:pPr>
        <w:rPr>
          <w:bCs/>
          <w:sz w:val="24"/>
          <w:szCs w:val="24"/>
          <w:lang w:val="en-GB"/>
        </w:rPr>
      </w:pPr>
    </w:p>
    <w:p w14:paraId="4C8F7D96" w14:textId="37D1CE57" w:rsidR="00C07939" w:rsidRPr="00F17BE5" w:rsidRDefault="00C07939" w:rsidP="00A542C5">
      <w:pPr>
        <w:rPr>
          <w:bCs/>
          <w:sz w:val="24"/>
          <w:szCs w:val="24"/>
          <w:lang w:val="en-GB"/>
        </w:rPr>
      </w:pPr>
    </w:p>
    <w:p w14:paraId="06E5BA33" w14:textId="3624DACB" w:rsidR="00C07939" w:rsidRPr="00F17BE5" w:rsidRDefault="00C07939" w:rsidP="00A542C5">
      <w:pPr>
        <w:rPr>
          <w:bCs/>
          <w:sz w:val="24"/>
          <w:szCs w:val="24"/>
          <w:lang w:val="en-GB"/>
        </w:rPr>
      </w:pPr>
    </w:p>
    <w:p w14:paraId="3EEA744A" w14:textId="437C0CDB" w:rsidR="00C07939" w:rsidRPr="00F17BE5" w:rsidRDefault="00C07939" w:rsidP="00A542C5">
      <w:pPr>
        <w:rPr>
          <w:bCs/>
          <w:sz w:val="24"/>
          <w:szCs w:val="24"/>
          <w:lang w:val="en-GB"/>
        </w:rPr>
      </w:pPr>
    </w:p>
    <w:p w14:paraId="7DF845EB" w14:textId="77777777" w:rsidR="00C07939" w:rsidRPr="00F17BE5" w:rsidRDefault="00C07939" w:rsidP="00A542C5">
      <w:pPr>
        <w:rPr>
          <w:bCs/>
          <w:sz w:val="24"/>
          <w:szCs w:val="24"/>
          <w:lang w:val="en-GB"/>
        </w:rPr>
      </w:pPr>
    </w:p>
    <w:tbl>
      <w:tblPr>
        <w:tblStyle w:val="TableGrid"/>
        <w:tblW w:w="0" w:type="auto"/>
        <w:tblLook w:val="04A0" w:firstRow="1" w:lastRow="0" w:firstColumn="1" w:lastColumn="0" w:noHBand="0" w:noVBand="1"/>
      </w:tblPr>
      <w:tblGrid>
        <w:gridCol w:w="10086"/>
      </w:tblGrid>
      <w:tr w:rsidR="00C07939" w:rsidRPr="00F17BE5" w14:paraId="11C2BC13" w14:textId="77777777" w:rsidTr="002C18FE">
        <w:tc>
          <w:tcPr>
            <w:tcW w:w="10086" w:type="dxa"/>
            <w:tcBorders>
              <w:top w:val="single" w:sz="4" w:space="0" w:color="800000"/>
              <w:left w:val="single" w:sz="4" w:space="0" w:color="800000"/>
              <w:bottom w:val="single" w:sz="4" w:space="0" w:color="800000"/>
              <w:right w:val="single" w:sz="4" w:space="0" w:color="800000"/>
            </w:tcBorders>
          </w:tcPr>
          <w:p w14:paraId="40318592" w14:textId="77777777" w:rsidR="00F17BE5" w:rsidRPr="00F17BE5" w:rsidRDefault="00F17BE5" w:rsidP="00F17BE5">
            <w:pPr>
              <w:pStyle w:val="ListParagraph"/>
              <w:numPr>
                <w:ilvl w:val="0"/>
                <w:numId w:val="1"/>
              </w:numPr>
              <w:jc w:val="both"/>
              <w:rPr>
                <w:bCs/>
                <w:i/>
                <w:iCs/>
                <w:sz w:val="20"/>
                <w:szCs w:val="20"/>
                <w:lang w:val="en-GB"/>
              </w:rPr>
            </w:pPr>
            <w:r w:rsidRPr="00F17BE5">
              <w:rPr>
                <w:bCs/>
                <w:i/>
                <w:iCs/>
                <w:sz w:val="20"/>
                <w:szCs w:val="20"/>
                <w:lang w:val="en-GB"/>
              </w:rPr>
              <w:t>The contents of this publication are the sole responsibility of the EPRD Consortium and can in no way be taken to reflect the views of the European Union.</w:t>
            </w:r>
          </w:p>
          <w:p w14:paraId="2F5CAF6D" w14:textId="4B62E377" w:rsidR="00C07939" w:rsidRPr="00F17BE5" w:rsidRDefault="00F17BE5" w:rsidP="00F17BE5">
            <w:pPr>
              <w:pStyle w:val="ListParagraph"/>
              <w:numPr>
                <w:ilvl w:val="0"/>
                <w:numId w:val="1"/>
              </w:numPr>
              <w:jc w:val="both"/>
              <w:rPr>
                <w:bCs/>
                <w:color w:val="800000"/>
                <w:sz w:val="20"/>
                <w:szCs w:val="20"/>
                <w:lang w:val="en-GB"/>
              </w:rPr>
            </w:pPr>
            <w:r w:rsidRPr="00F17BE5">
              <w:rPr>
                <w:bCs/>
                <w:i/>
                <w:iCs/>
                <w:sz w:val="20"/>
                <w:szCs w:val="20"/>
                <w:lang w:val="en-GB"/>
              </w:rPr>
              <w:t xml:space="preserve">Sentences in this publication written in the same gender refer equally to </w:t>
            </w:r>
            <w:r w:rsidR="00023AE9">
              <w:rPr>
                <w:bCs/>
                <w:i/>
                <w:iCs/>
                <w:sz w:val="20"/>
                <w:szCs w:val="20"/>
                <w:lang w:val="en-GB"/>
              </w:rPr>
              <w:t>men and women</w:t>
            </w:r>
            <w:r w:rsidRPr="00F17BE5">
              <w:rPr>
                <w:bCs/>
                <w:i/>
                <w:iCs/>
                <w:sz w:val="20"/>
                <w:szCs w:val="20"/>
                <w:lang w:val="en-GB"/>
              </w:rPr>
              <w:t>.</w:t>
            </w:r>
          </w:p>
        </w:tc>
      </w:tr>
    </w:tbl>
    <w:p w14:paraId="76B5D65A" w14:textId="77777777" w:rsidR="00C07939" w:rsidRPr="00F17BE5" w:rsidRDefault="00C07939" w:rsidP="00C07939">
      <w:pPr>
        <w:spacing w:line="276" w:lineRule="auto"/>
        <w:jc w:val="both"/>
        <w:rPr>
          <w:b/>
          <w:color w:val="800000"/>
          <w:sz w:val="24"/>
          <w:szCs w:val="24"/>
          <w:lang w:val="en-GB"/>
        </w:rPr>
      </w:pPr>
      <w:r w:rsidRPr="00F17BE5">
        <w:rPr>
          <w:b/>
          <w:color w:val="800000"/>
          <w:sz w:val="24"/>
          <w:szCs w:val="24"/>
          <w:lang w:val="en-GB"/>
        </w:rPr>
        <w:br w:type="page"/>
      </w:r>
    </w:p>
    <w:p w14:paraId="4FDA4499" w14:textId="3B651D9F" w:rsidR="00A542C5" w:rsidRPr="00F17BE5" w:rsidRDefault="00C97F4F" w:rsidP="00A542C5">
      <w:pPr>
        <w:pStyle w:val="Heading1"/>
        <w:numPr>
          <w:ilvl w:val="0"/>
          <w:numId w:val="2"/>
        </w:numPr>
        <w:jc w:val="left"/>
        <w:rPr>
          <w:rFonts w:ascii="Arial" w:hAnsi="Arial" w:cs="Arial"/>
          <w:sz w:val="28"/>
          <w:szCs w:val="28"/>
          <w:lang w:val="en-GB"/>
        </w:rPr>
      </w:pPr>
      <w:bookmarkStart w:id="1" w:name="_Toc52815344"/>
      <w:r w:rsidRPr="00F17BE5">
        <w:rPr>
          <w:rFonts w:ascii="Arial" w:hAnsi="Arial" w:cs="Arial"/>
          <w:sz w:val="28"/>
          <w:szCs w:val="28"/>
          <w:lang w:val="en-GB"/>
        </w:rPr>
        <w:lastRenderedPageBreak/>
        <w:t>Short overview of issues and discussions</w:t>
      </w:r>
      <w:bookmarkEnd w:id="1"/>
      <w:r w:rsidRPr="00F17BE5">
        <w:rPr>
          <w:rFonts w:ascii="Arial" w:hAnsi="Arial" w:cs="Arial"/>
          <w:sz w:val="28"/>
          <w:szCs w:val="28"/>
          <w:lang w:val="en-GB"/>
        </w:rPr>
        <w:t xml:space="preserve"> </w:t>
      </w:r>
    </w:p>
    <w:p w14:paraId="424D3BB8" w14:textId="7BA4A8DB" w:rsidR="00C07939" w:rsidRPr="00F17BE5" w:rsidRDefault="00D911BF" w:rsidP="00C07939">
      <w:pPr>
        <w:spacing w:before="100" w:after="100" w:line="276" w:lineRule="auto"/>
        <w:jc w:val="both"/>
        <w:rPr>
          <w:sz w:val="24"/>
          <w:szCs w:val="24"/>
          <w:lang w:val="en-GB"/>
        </w:rPr>
      </w:pPr>
      <w:r>
        <w:rPr>
          <w:i/>
          <w:iCs/>
          <w:sz w:val="24"/>
          <w:szCs w:val="24"/>
          <w:lang w:val="en-GB"/>
        </w:rPr>
        <w:t>Strategy of teachers’ education of Montenegro</w:t>
      </w:r>
      <w:r w:rsidR="00C07939" w:rsidRPr="00F17BE5">
        <w:rPr>
          <w:i/>
          <w:iCs/>
          <w:sz w:val="24"/>
          <w:szCs w:val="24"/>
          <w:lang w:val="en-GB"/>
        </w:rPr>
        <w:t xml:space="preserve"> 2017 – 2024</w:t>
      </w:r>
      <w:r w:rsidR="00C07939" w:rsidRPr="00F17BE5">
        <w:rPr>
          <w:rStyle w:val="FootnoteReference"/>
          <w:i/>
          <w:iCs/>
          <w:sz w:val="24"/>
          <w:szCs w:val="24"/>
          <w:lang w:val="en-GB"/>
        </w:rPr>
        <w:footnoteReference w:id="1"/>
      </w:r>
      <w:r w:rsidR="00C07939" w:rsidRPr="00F17BE5">
        <w:rPr>
          <w:i/>
          <w:iCs/>
          <w:sz w:val="24"/>
          <w:szCs w:val="24"/>
          <w:lang w:val="en-GB"/>
        </w:rPr>
        <w:t xml:space="preserve"> </w:t>
      </w:r>
      <w:r w:rsidRPr="00D911BF">
        <w:rPr>
          <w:sz w:val="24"/>
          <w:szCs w:val="24"/>
          <w:lang w:val="en-GB"/>
        </w:rPr>
        <w:t xml:space="preserve">identified that the study programs of initial teacher education at the University of Montenegro (Faculty of Philosophy, Faculty of Philology, Faculty of Science, Academy of Music, Faculty of Fine Arts and Faculty of Sports and Physical Education) are mostly, with a few exceptions, designed so that students provide the acquisition of adequate knowledge from a specific profession, but </w:t>
      </w:r>
      <w:r w:rsidRPr="00D911BF">
        <w:rPr>
          <w:b/>
          <w:bCs/>
          <w:sz w:val="24"/>
          <w:szCs w:val="24"/>
          <w:lang w:val="en-GB"/>
        </w:rPr>
        <w:t>not sufficient preparation for work in educational institutions, i.e. the real work environment</w:t>
      </w:r>
      <w:r w:rsidRPr="00D911BF">
        <w:rPr>
          <w:sz w:val="24"/>
          <w:szCs w:val="24"/>
          <w:lang w:val="en-GB"/>
        </w:rPr>
        <w:t>. A detailed analysis presented in the Strategy found that</w:t>
      </w:r>
      <w:r w:rsidR="00C07939" w:rsidRPr="00F17BE5">
        <w:rPr>
          <w:sz w:val="24"/>
          <w:szCs w:val="24"/>
          <w:lang w:val="en-GB"/>
        </w:rPr>
        <w:t>:</w:t>
      </w:r>
    </w:p>
    <w:p w14:paraId="2D62FAC2" w14:textId="50AC9FA9" w:rsidR="00D911BF" w:rsidRPr="00D911BF" w:rsidRDefault="00D911BF" w:rsidP="00D911BF">
      <w:pPr>
        <w:pStyle w:val="ListParagraph"/>
        <w:widowControl/>
        <w:numPr>
          <w:ilvl w:val="0"/>
          <w:numId w:val="51"/>
        </w:numPr>
        <w:autoSpaceDE/>
        <w:autoSpaceDN/>
        <w:spacing w:before="100" w:after="100" w:line="276" w:lineRule="auto"/>
        <w:contextualSpacing/>
        <w:jc w:val="both"/>
        <w:rPr>
          <w:sz w:val="24"/>
          <w:szCs w:val="24"/>
          <w:lang w:val="en-GB"/>
        </w:rPr>
      </w:pPr>
      <w:r w:rsidRPr="00D911BF">
        <w:rPr>
          <w:sz w:val="24"/>
          <w:szCs w:val="24"/>
          <w:lang w:val="en-GB"/>
        </w:rPr>
        <w:t>Number of pedagogical-didactic subjects and student workload (</w:t>
      </w:r>
      <w:r>
        <w:rPr>
          <w:sz w:val="24"/>
          <w:szCs w:val="24"/>
          <w:lang w:val="en-GB"/>
        </w:rPr>
        <w:t>number</w:t>
      </w:r>
      <w:r w:rsidRPr="00D911BF">
        <w:rPr>
          <w:sz w:val="24"/>
          <w:szCs w:val="24"/>
          <w:lang w:val="en-GB"/>
        </w:rPr>
        <w:t xml:space="preserve"> of classes, ECTS), which give teaching competencies</w:t>
      </w:r>
      <w:r>
        <w:rPr>
          <w:sz w:val="24"/>
          <w:szCs w:val="24"/>
          <w:lang w:val="en-GB"/>
        </w:rPr>
        <w:t xml:space="preserve"> is</w:t>
      </w:r>
      <w:r w:rsidRPr="00D911BF">
        <w:rPr>
          <w:sz w:val="24"/>
          <w:szCs w:val="24"/>
          <w:lang w:val="en-GB"/>
        </w:rPr>
        <w:t xml:space="preserve"> </w:t>
      </w:r>
      <w:r w:rsidRPr="00D911BF">
        <w:rPr>
          <w:b/>
          <w:bCs/>
          <w:sz w:val="24"/>
          <w:szCs w:val="24"/>
          <w:lang w:val="en-GB"/>
        </w:rPr>
        <w:t>different from program to program</w:t>
      </w:r>
      <w:r w:rsidRPr="00D911BF">
        <w:rPr>
          <w:sz w:val="24"/>
          <w:szCs w:val="24"/>
          <w:lang w:val="en-GB"/>
        </w:rPr>
        <w:t>;</w:t>
      </w:r>
    </w:p>
    <w:p w14:paraId="493AACEF" w14:textId="0DFDEEEB" w:rsidR="00D911BF" w:rsidRPr="00D911BF" w:rsidRDefault="00D911BF" w:rsidP="00D911BF">
      <w:pPr>
        <w:pStyle w:val="ListParagraph"/>
        <w:widowControl/>
        <w:numPr>
          <w:ilvl w:val="0"/>
          <w:numId w:val="51"/>
        </w:numPr>
        <w:autoSpaceDE/>
        <w:autoSpaceDN/>
        <w:spacing w:before="100" w:after="100" w:line="276" w:lineRule="auto"/>
        <w:contextualSpacing/>
        <w:jc w:val="both"/>
        <w:rPr>
          <w:sz w:val="24"/>
          <w:szCs w:val="24"/>
          <w:lang w:val="en-GB"/>
        </w:rPr>
      </w:pPr>
      <w:r w:rsidRPr="00D911BF">
        <w:rPr>
          <w:sz w:val="24"/>
          <w:szCs w:val="24"/>
          <w:lang w:val="en-GB"/>
        </w:rPr>
        <w:t xml:space="preserve">In most programs, </w:t>
      </w:r>
      <w:r w:rsidRPr="00D911BF">
        <w:rPr>
          <w:b/>
          <w:bCs/>
          <w:sz w:val="24"/>
          <w:szCs w:val="24"/>
          <w:lang w:val="en-GB"/>
        </w:rPr>
        <w:t>student workload is insufficient</w:t>
      </w:r>
      <w:r w:rsidRPr="00D911BF">
        <w:rPr>
          <w:sz w:val="24"/>
          <w:szCs w:val="24"/>
          <w:lang w:val="en-GB"/>
        </w:rPr>
        <w:t xml:space="preserve"> to provide the necessary teaching competencies;</w:t>
      </w:r>
    </w:p>
    <w:p w14:paraId="3AE0DB93" w14:textId="151451E1" w:rsidR="00D911BF" w:rsidRDefault="00D911BF" w:rsidP="00D911BF">
      <w:pPr>
        <w:pStyle w:val="ListParagraph"/>
        <w:widowControl/>
        <w:numPr>
          <w:ilvl w:val="0"/>
          <w:numId w:val="51"/>
        </w:numPr>
        <w:autoSpaceDE/>
        <w:autoSpaceDN/>
        <w:spacing w:before="100" w:after="100" w:line="276" w:lineRule="auto"/>
        <w:contextualSpacing/>
        <w:jc w:val="both"/>
        <w:rPr>
          <w:sz w:val="24"/>
          <w:szCs w:val="24"/>
          <w:lang w:val="en-GB"/>
        </w:rPr>
      </w:pPr>
      <w:r w:rsidRPr="00D911BF">
        <w:rPr>
          <w:sz w:val="24"/>
          <w:szCs w:val="24"/>
          <w:lang w:val="en-GB"/>
        </w:rPr>
        <w:t xml:space="preserve">In terms of content, some pedagogical-didactic subjects are </w:t>
      </w:r>
      <w:r w:rsidRPr="00D911BF">
        <w:rPr>
          <w:b/>
          <w:bCs/>
          <w:sz w:val="24"/>
          <w:szCs w:val="24"/>
          <w:lang w:val="en-GB"/>
        </w:rPr>
        <w:t>not based on modern concepts</w:t>
      </w:r>
      <w:r w:rsidRPr="00D911BF">
        <w:rPr>
          <w:sz w:val="24"/>
          <w:szCs w:val="24"/>
          <w:lang w:val="en-GB"/>
        </w:rPr>
        <w:t xml:space="preserve"> (e.g. neglected socio-emotional and key competencies, student orientation is not yet integrated into curricula, programs are not aligned with changes in the country's education policy).</w:t>
      </w:r>
    </w:p>
    <w:p w14:paraId="2C29DA1C" w14:textId="77777777" w:rsidR="0090790A" w:rsidRPr="0090790A" w:rsidRDefault="0090790A" w:rsidP="0090790A">
      <w:pPr>
        <w:widowControl/>
        <w:autoSpaceDE/>
        <w:autoSpaceDN/>
        <w:spacing w:before="100" w:after="100" w:line="276" w:lineRule="auto"/>
        <w:contextualSpacing/>
        <w:jc w:val="both"/>
        <w:rPr>
          <w:sz w:val="24"/>
          <w:szCs w:val="24"/>
          <w:lang w:val="en-GB"/>
        </w:rPr>
      </w:pPr>
      <w:r w:rsidRPr="0090790A">
        <w:rPr>
          <w:sz w:val="24"/>
          <w:szCs w:val="24"/>
          <w:lang w:val="en-GB"/>
        </w:rPr>
        <w:t>The strategy offered a solution on how to overcome these shortcomings in initial teacher education, offering a clear action plan, which contains the following measures (relating to study programs):</w:t>
      </w:r>
    </w:p>
    <w:p w14:paraId="5CA135B1" w14:textId="5453A830" w:rsidR="0090790A" w:rsidRPr="0090790A" w:rsidRDefault="0090790A" w:rsidP="0090790A">
      <w:pPr>
        <w:pStyle w:val="ListParagraph"/>
        <w:widowControl/>
        <w:numPr>
          <w:ilvl w:val="0"/>
          <w:numId w:val="52"/>
        </w:numPr>
        <w:autoSpaceDE/>
        <w:autoSpaceDN/>
        <w:spacing w:before="100" w:after="100" w:line="276" w:lineRule="auto"/>
        <w:contextualSpacing/>
        <w:jc w:val="both"/>
        <w:rPr>
          <w:sz w:val="24"/>
          <w:szCs w:val="24"/>
          <w:lang w:val="en-GB"/>
        </w:rPr>
      </w:pPr>
      <w:r w:rsidRPr="0090790A">
        <w:rPr>
          <w:sz w:val="24"/>
          <w:szCs w:val="24"/>
          <w:lang w:val="en-GB"/>
        </w:rPr>
        <w:t>Improving study programs in a way that they are flexible, modularized, to reflect the needs of the educational system and the individuality of students;</w:t>
      </w:r>
    </w:p>
    <w:p w14:paraId="2F95B91E" w14:textId="3B25C310" w:rsidR="0090790A" w:rsidRPr="0090790A" w:rsidRDefault="0090790A" w:rsidP="0090790A">
      <w:pPr>
        <w:pStyle w:val="ListParagraph"/>
        <w:widowControl/>
        <w:numPr>
          <w:ilvl w:val="0"/>
          <w:numId w:val="52"/>
        </w:numPr>
        <w:autoSpaceDE/>
        <w:autoSpaceDN/>
        <w:spacing w:before="100" w:after="100" w:line="276" w:lineRule="auto"/>
        <w:contextualSpacing/>
        <w:jc w:val="both"/>
        <w:rPr>
          <w:sz w:val="24"/>
          <w:szCs w:val="24"/>
          <w:lang w:val="en-GB"/>
        </w:rPr>
      </w:pPr>
      <w:r w:rsidRPr="0090790A">
        <w:rPr>
          <w:sz w:val="24"/>
          <w:szCs w:val="24"/>
          <w:lang w:val="en-GB"/>
        </w:rPr>
        <w:t>Determining the minimum representation of the pedagogical-psychological and didactic-methodological group of subjects in the study programs according to which teachers are educated;</w:t>
      </w:r>
    </w:p>
    <w:p w14:paraId="1DEB8A5E" w14:textId="7E9619A4" w:rsidR="0090790A" w:rsidRPr="0090790A" w:rsidRDefault="0090790A" w:rsidP="0090790A">
      <w:pPr>
        <w:pStyle w:val="ListParagraph"/>
        <w:widowControl/>
        <w:numPr>
          <w:ilvl w:val="0"/>
          <w:numId w:val="52"/>
        </w:numPr>
        <w:autoSpaceDE/>
        <w:autoSpaceDN/>
        <w:spacing w:before="100" w:after="100" w:line="276" w:lineRule="auto"/>
        <w:contextualSpacing/>
        <w:jc w:val="both"/>
        <w:rPr>
          <w:sz w:val="24"/>
          <w:szCs w:val="24"/>
          <w:lang w:val="en-GB"/>
        </w:rPr>
      </w:pPr>
      <w:r w:rsidRPr="0090790A">
        <w:rPr>
          <w:sz w:val="24"/>
          <w:szCs w:val="24"/>
          <w:lang w:val="en-GB"/>
        </w:rPr>
        <w:t>Determining the minimum representation of key competencies in study programs according to which teachers are educated;</w:t>
      </w:r>
    </w:p>
    <w:p w14:paraId="70280326" w14:textId="68C09D81" w:rsidR="0090790A" w:rsidRPr="0090790A" w:rsidRDefault="0090790A" w:rsidP="0090790A">
      <w:pPr>
        <w:pStyle w:val="ListParagraph"/>
        <w:widowControl/>
        <w:numPr>
          <w:ilvl w:val="0"/>
          <w:numId w:val="52"/>
        </w:numPr>
        <w:autoSpaceDE/>
        <w:autoSpaceDN/>
        <w:spacing w:before="100" w:after="100" w:line="276" w:lineRule="auto"/>
        <w:contextualSpacing/>
        <w:jc w:val="both"/>
        <w:rPr>
          <w:sz w:val="24"/>
          <w:szCs w:val="24"/>
          <w:lang w:val="en-GB"/>
        </w:rPr>
      </w:pPr>
      <w:r w:rsidRPr="0090790A">
        <w:rPr>
          <w:sz w:val="24"/>
          <w:szCs w:val="24"/>
          <w:lang w:val="en-GB"/>
        </w:rPr>
        <w:t>Determining the minimum representation of content on inclusive education in study programs according to which teachers are educated;</w:t>
      </w:r>
    </w:p>
    <w:p w14:paraId="4A0DC230" w14:textId="56CD3827" w:rsidR="0090790A" w:rsidRPr="0090790A" w:rsidRDefault="0090790A" w:rsidP="0090790A">
      <w:pPr>
        <w:pStyle w:val="ListParagraph"/>
        <w:widowControl/>
        <w:numPr>
          <w:ilvl w:val="0"/>
          <w:numId w:val="52"/>
        </w:numPr>
        <w:autoSpaceDE/>
        <w:autoSpaceDN/>
        <w:spacing w:before="100" w:after="100" w:line="276" w:lineRule="auto"/>
        <w:contextualSpacing/>
        <w:jc w:val="both"/>
        <w:rPr>
          <w:sz w:val="24"/>
          <w:szCs w:val="24"/>
          <w:lang w:val="en-GB"/>
        </w:rPr>
      </w:pPr>
      <w:r w:rsidRPr="0090790A">
        <w:rPr>
          <w:sz w:val="24"/>
          <w:szCs w:val="24"/>
          <w:lang w:val="en-GB"/>
        </w:rPr>
        <w:t>Ensuring cooperation between higher education institutions and primary and secondary schools for the implementation of practical classes during the initial education of all teachers;</w:t>
      </w:r>
    </w:p>
    <w:p w14:paraId="0CDF8F2C" w14:textId="27E52A1A" w:rsidR="0090790A" w:rsidRPr="0090790A" w:rsidRDefault="0090790A" w:rsidP="0090790A">
      <w:pPr>
        <w:pStyle w:val="ListParagraph"/>
        <w:widowControl/>
        <w:numPr>
          <w:ilvl w:val="0"/>
          <w:numId w:val="52"/>
        </w:numPr>
        <w:autoSpaceDE/>
        <w:autoSpaceDN/>
        <w:spacing w:before="100" w:after="100" w:line="276" w:lineRule="auto"/>
        <w:contextualSpacing/>
        <w:jc w:val="both"/>
        <w:rPr>
          <w:sz w:val="24"/>
          <w:szCs w:val="24"/>
          <w:lang w:val="en-GB"/>
        </w:rPr>
      </w:pPr>
      <w:r w:rsidRPr="0090790A">
        <w:rPr>
          <w:sz w:val="24"/>
          <w:szCs w:val="24"/>
          <w:lang w:val="en-GB"/>
        </w:rPr>
        <w:t>Ensuring continuous improvement of foreign language knowledge during initial teacher education;</w:t>
      </w:r>
    </w:p>
    <w:p w14:paraId="20AE4F09" w14:textId="3FF97E6F" w:rsidR="00C07939" w:rsidRPr="00F17BE5" w:rsidRDefault="0090790A" w:rsidP="0090790A">
      <w:pPr>
        <w:pStyle w:val="ListParagraph"/>
        <w:widowControl/>
        <w:numPr>
          <w:ilvl w:val="0"/>
          <w:numId w:val="52"/>
        </w:numPr>
        <w:autoSpaceDE/>
        <w:autoSpaceDN/>
        <w:spacing w:before="100" w:after="100" w:line="276" w:lineRule="auto"/>
        <w:contextualSpacing/>
        <w:jc w:val="both"/>
        <w:rPr>
          <w:sz w:val="24"/>
          <w:szCs w:val="24"/>
          <w:lang w:val="en-GB"/>
        </w:rPr>
      </w:pPr>
      <w:r w:rsidRPr="0090790A">
        <w:rPr>
          <w:sz w:val="24"/>
          <w:szCs w:val="24"/>
          <w:lang w:val="en-GB"/>
        </w:rPr>
        <w:t>Ensuring the acquisition of digital competence during the initial teacher education</w:t>
      </w:r>
      <w:r w:rsidR="00C07939" w:rsidRPr="00F17BE5">
        <w:rPr>
          <w:sz w:val="24"/>
          <w:szCs w:val="24"/>
          <w:lang w:val="en-GB"/>
        </w:rPr>
        <w:t>.</w:t>
      </w:r>
    </w:p>
    <w:p w14:paraId="075CEA08" w14:textId="77777777" w:rsidR="001B40C4" w:rsidRPr="001B40C4" w:rsidRDefault="001B40C4" w:rsidP="001B40C4">
      <w:pPr>
        <w:spacing w:before="100" w:after="100" w:line="276" w:lineRule="auto"/>
        <w:jc w:val="both"/>
        <w:rPr>
          <w:sz w:val="24"/>
          <w:szCs w:val="24"/>
          <w:lang w:val="en-GB"/>
        </w:rPr>
      </w:pPr>
      <w:r w:rsidRPr="001B40C4">
        <w:rPr>
          <w:sz w:val="24"/>
          <w:szCs w:val="24"/>
          <w:lang w:val="en-GB"/>
        </w:rPr>
        <w:t xml:space="preserve">In December 2016, the National Education Council adopted </w:t>
      </w:r>
      <w:r w:rsidRPr="003F5641">
        <w:rPr>
          <w:i/>
          <w:iCs/>
          <w:sz w:val="24"/>
          <w:szCs w:val="24"/>
          <w:lang w:val="en-GB"/>
        </w:rPr>
        <w:t>Standards of Competences for Teachers and Principals in Educational Institutions</w:t>
      </w:r>
      <w:r w:rsidRPr="001B40C4">
        <w:rPr>
          <w:sz w:val="24"/>
          <w:szCs w:val="24"/>
          <w:lang w:val="en-GB"/>
        </w:rPr>
        <w:t xml:space="preserve">, which also contain </w:t>
      </w:r>
      <w:r w:rsidRPr="003F5641">
        <w:rPr>
          <w:b/>
          <w:bCs/>
          <w:sz w:val="24"/>
          <w:szCs w:val="24"/>
          <w:lang w:val="en-GB"/>
        </w:rPr>
        <w:t xml:space="preserve">standards of </w:t>
      </w:r>
      <w:r w:rsidRPr="003F5641">
        <w:rPr>
          <w:b/>
          <w:bCs/>
          <w:sz w:val="24"/>
          <w:szCs w:val="24"/>
          <w:lang w:val="en-GB"/>
        </w:rPr>
        <w:lastRenderedPageBreak/>
        <w:t>competences for teachers</w:t>
      </w:r>
      <w:r w:rsidRPr="001B40C4">
        <w:rPr>
          <w:sz w:val="24"/>
          <w:szCs w:val="24"/>
          <w:lang w:val="en-GB"/>
        </w:rPr>
        <w:t>. Eight standards of teacher competencies have been developed:</w:t>
      </w:r>
    </w:p>
    <w:p w14:paraId="128AFAF8" w14:textId="77777777" w:rsidR="001B40C4" w:rsidRPr="003F5641" w:rsidRDefault="001B40C4" w:rsidP="003F5641">
      <w:pPr>
        <w:pStyle w:val="ListParagraph"/>
        <w:numPr>
          <w:ilvl w:val="0"/>
          <w:numId w:val="58"/>
        </w:numPr>
        <w:spacing w:before="100" w:after="100" w:line="276" w:lineRule="auto"/>
        <w:jc w:val="both"/>
        <w:rPr>
          <w:sz w:val="24"/>
          <w:szCs w:val="24"/>
          <w:lang w:val="en-GB"/>
        </w:rPr>
      </w:pPr>
      <w:r w:rsidRPr="003F5641">
        <w:rPr>
          <w:sz w:val="24"/>
          <w:szCs w:val="24"/>
          <w:lang w:val="en-GB"/>
        </w:rPr>
        <w:t>Standard 1: Students and the teaching / learning process;</w:t>
      </w:r>
    </w:p>
    <w:p w14:paraId="78CAA933" w14:textId="77777777" w:rsidR="001B40C4" w:rsidRPr="003F5641" w:rsidRDefault="001B40C4" w:rsidP="003F5641">
      <w:pPr>
        <w:pStyle w:val="ListParagraph"/>
        <w:numPr>
          <w:ilvl w:val="0"/>
          <w:numId w:val="58"/>
        </w:numPr>
        <w:spacing w:before="100" w:after="100" w:line="276" w:lineRule="auto"/>
        <w:jc w:val="both"/>
        <w:rPr>
          <w:sz w:val="24"/>
          <w:szCs w:val="24"/>
          <w:lang w:val="en-GB"/>
        </w:rPr>
      </w:pPr>
      <w:r w:rsidRPr="003F5641">
        <w:rPr>
          <w:sz w:val="24"/>
          <w:szCs w:val="24"/>
          <w:lang w:val="en-GB"/>
        </w:rPr>
        <w:t>Standard 2: Effective and safe learning environment;</w:t>
      </w:r>
    </w:p>
    <w:p w14:paraId="11C9F0B5" w14:textId="77777777" w:rsidR="001B40C4" w:rsidRPr="003F5641" w:rsidRDefault="001B40C4" w:rsidP="003F5641">
      <w:pPr>
        <w:pStyle w:val="ListParagraph"/>
        <w:numPr>
          <w:ilvl w:val="0"/>
          <w:numId w:val="58"/>
        </w:numPr>
        <w:spacing w:before="100" w:after="100" w:line="276" w:lineRule="auto"/>
        <w:jc w:val="both"/>
        <w:rPr>
          <w:sz w:val="24"/>
          <w:szCs w:val="24"/>
          <w:lang w:val="en-GB"/>
        </w:rPr>
      </w:pPr>
      <w:r w:rsidRPr="003F5641">
        <w:rPr>
          <w:sz w:val="24"/>
          <w:szCs w:val="24"/>
          <w:lang w:val="en-GB"/>
        </w:rPr>
        <w:t>Standard 3: Knowledge of the profession and the subject program;</w:t>
      </w:r>
    </w:p>
    <w:p w14:paraId="0B2407E1" w14:textId="77777777" w:rsidR="001B40C4" w:rsidRPr="003F5641" w:rsidRDefault="001B40C4" w:rsidP="003F5641">
      <w:pPr>
        <w:pStyle w:val="ListParagraph"/>
        <w:numPr>
          <w:ilvl w:val="0"/>
          <w:numId w:val="58"/>
        </w:numPr>
        <w:spacing w:before="100" w:after="100" w:line="276" w:lineRule="auto"/>
        <w:jc w:val="both"/>
        <w:rPr>
          <w:sz w:val="24"/>
          <w:szCs w:val="24"/>
          <w:lang w:val="en-GB"/>
        </w:rPr>
      </w:pPr>
      <w:r w:rsidRPr="003F5641">
        <w:rPr>
          <w:sz w:val="24"/>
          <w:szCs w:val="24"/>
          <w:lang w:val="en-GB"/>
        </w:rPr>
        <w:t>Standard 4: Knowledge of subject methodology;</w:t>
      </w:r>
    </w:p>
    <w:p w14:paraId="004EF817" w14:textId="77777777" w:rsidR="001B40C4" w:rsidRPr="003F5641" w:rsidRDefault="001B40C4" w:rsidP="003F5641">
      <w:pPr>
        <w:pStyle w:val="ListParagraph"/>
        <w:numPr>
          <w:ilvl w:val="0"/>
          <w:numId w:val="58"/>
        </w:numPr>
        <w:spacing w:before="100" w:after="100" w:line="276" w:lineRule="auto"/>
        <w:jc w:val="both"/>
        <w:rPr>
          <w:sz w:val="24"/>
          <w:szCs w:val="24"/>
          <w:lang w:val="en-GB"/>
        </w:rPr>
      </w:pPr>
      <w:r w:rsidRPr="003F5641">
        <w:rPr>
          <w:sz w:val="24"/>
          <w:szCs w:val="24"/>
          <w:lang w:val="en-GB"/>
        </w:rPr>
        <w:t>Standard 5: Planning and preparation of classes;</w:t>
      </w:r>
    </w:p>
    <w:p w14:paraId="70904A6B" w14:textId="77777777" w:rsidR="001B40C4" w:rsidRPr="003F5641" w:rsidRDefault="001B40C4" w:rsidP="003F5641">
      <w:pPr>
        <w:pStyle w:val="ListParagraph"/>
        <w:numPr>
          <w:ilvl w:val="0"/>
          <w:numId w:val="58"/>
        </w:numPr>
        <w:spacing w:before="100" w:after="100" w:line="276" w:lineRule="auto"/>
        <w:jc w:val="both"/>
        <w:rPr>
          <w:sz w:val="24"/>
          <w:szCs w:val="24"/>
          <w:lang w:val="en-GB"/>
        </w:rPr>
      </w:pPr>
      <w:r w:rsidRPr="003F5641">
        <w:rPr>
          <w:sz w:val="24"/>
          <w:szCs w:val="24"/>
          <w:lang w:val="en-GB"/>
        </w:rPr>
        <w:t>Standard 6: Assessment and evaluation;</w:t>
      </w:r>
    </w:p>
    <w:p w14:paraId="6A83D053" w14:textId="77777777" w:rsidR="001B40C4" w:rsidRPr="003F5641" w:rsidRDefault="001B40C4" w:rsidP="003F5641">
      <w:pPr>
        <w:pStyle w:val="ListParagraph"/>
        <w:numPr>
          <w:ilvl w:val="0"/>
          <w:numId w:val="58"/>
        </w:numPr>
        <w:spacing w:before="100" w:after="100" w:line="276" w:lineRule="auto"/>
        <w:jc w:val="both"/>
        <w:rPr>
          <w:sz w:val="24"/>
          <w:szCs w:val="24"/>
          <w:lang w:val="en-GB"/>
        </w:rPr>
      </w:pPr>
      <w:r w:rsidRPr="003F5641">
        <w:rPr>
          <w:sz w:val="24"/>
          <w:szCs w:val="24"/>
          <w:lang w:val="en-GB"/>
        </w:rPr>
        <w:t>Standard 7: Professional development;</w:t>
      </w:r>
    </w:p>
    <w:p w14:paraId="5DDBE621" w14:textId="77777777" w:rsidR="001B40C4" w:rsidRPr="003F5641" w:rsidRDefault="001B40C4" w:rsidP="003F5641">
      <w:pPr>
        <w:pStyle w:val="ListParagraph"/>
        <w:numPr>
          <w:ilvl w:val="0"/>
          <w:numId w:val="58"/>
        </w:numPr>
        <w:spacing w:before="100" w:after="100" w:line="276" w:lineRule="auto"/>
        <w:jc w:val="both"/>
        <w:rPr>
          <w:sz w:val="24"/>
          <w:szCs w:val="24"/>
          <w:lang w:val="en-GB"/>
        </w:rPr>
      </w:pPr>
      <w:r w:rsidRPr="003F5641">
        <w:rPr>
          <w:sz w:val="24"/>
          <w:szCs w:val="24"/>
          <w:lang w:val="en-GB"/>
        </w:rPr>
        <w:t>Standard 8: Leadership and cooperation.</w:t>
      </w:r>
    </w:p>
    <w:p w14:paraId="7F9597B0" w14:textId="581861FE" w:rsidR="001B40C4" w:rsidRDefault="001B40C4" w:rsidP="001B40C4">
      <w:pPr>
        <w:spacing w:before="100" w:after="100" w:line="276" w:lineRule="auto"/>
        <w:jc w:val="both"/>
        <w:rPr>
          <w:sz w:val="24"/>
          <w:szCs w:val="24"/>
          <w:lang w:val="en-GB"/>
        </w:rPr>
      </w:pPr>
      <w:r w:rsidRPr="001B40C4">
        <w:rPr>
          <w:sz w:val="24"/>
          <w:szCs w:val="24"/>
          <w:lang w:val="en-GB"/>
        </w:rPr>
        <w:t xml:space="preserve">Along with each of the eight standards, </w:t>
      </w:r>
      <w:r w:rsidRPr="003F5641">
        <w:rPr>
          <w:b/>
          <w:bCs/>
          <w:sz w:val="24"/>
          <w:szCs w:val="24"/>
          <w:lang w:val="en-GB"/>
        </w:rPr>
        <w:t>descriptors</w:t>
      </w:r>
      <w:r w:rsidRPr="001B40C4">
        <w:rPr>
          <w:sz w:val="24"/>
          <w:szCs w:val="24"/>
          <w:lang w:val="en-GB"/>
        </w:rPr>
        <w:t xml:space="preserve"> related to </w:t>
      </w:r>
      <w:r w:rsidRPr="003F5641">
        <w:rPr>
          <w:b/>
          <w:bCs/>
          <w:sz w:val="24"/>
          <w:szCs w:val="24"/>
          <w:lang w:val="en-GB"/>
        </w:rPr>
        <w:t>practice, knowledge, and attitudes</w:t>
      </w:r>
      <w:r w:rsidRPr="001B40C4">
        <w:rPr>
          <w:sz w:val="24"/>
          <w:szCs w:val="24"/>
          <w:lang w:val="en-GB"/>
        </w:rPr>
        <w:t xml:space="preserve"> have been also developed.</w:t>
      </w:r>
    </w:p>
    <w:p w14:paraId="5A1AC391" w14:textId="1EDAE57D" w:rsidR="00C07939" w:rsidRPr="00F17BE5" w:rsidRDefault="00B71A86" w:rsidP="00C07939">
      <w:pPr>
        <w:spacing w:before="100" w:after="100" w:line="276" w:lineRule="auto"/>
        <w:jc w:val="both"/>
        <w:rPr>
          <w:sz w:val="24"/>
          <w:szCs w:val="24"/>
          <w:lang w:val="en-GB"/>
        </w:rPr>
      </w:pPr>
      <w:r w:rsidRPr="00B71A86">
        <w:rPr>
          <w:sz w:val="24"/>
          <w:szCs w:val="24"/>
          <w:lang w:val="en-GB"/>
        </w:rPr>
        <w:t xml:space="preserve">It is clear from the above that the development of a </w:t>
      </w:r>
      <w:r w:rsidRPr="003F5641">
        <w:rPr>
          <w:b/>
          <w:bCs/>
          <w:sz w:val="24"/>
          <w:szCs w:val="24"/>
          <w:lang w:val="en-GB"/>
        </w:rPr>
        <w:t xml:space="preserve">module that would give students teacher competencies </w:t>
      </w:r>
      <w:r w:rsidR="001B40C4" w:rsidRPr="003F5641">
        <w:rPr>
          <w:b/>
          <w:bCs/>
          <w:sz w:val="24"/>
          <w:szCs w:val="24"/>
          <w:lang w:val="en-GB"/>
        </w:rPr>
        <w:t xml:space="preserve">and based on </w:t>
      </w:r>
      <w:r w:rsidR="001B40C4" w:rsidRPr="001B40C4">
        <w:rPr>
          <w:b/>
          <w:bCs/>
          <w:sz w:val="24"/>
          <w:szCs w:val="24"/>
          <w:lang w:val="en-GB"/>
        </w:rPr>
        <w:t>standards of competences for teachers</w:t>
      </w:r>
      <w:r w:rsidR="001B40C4" w:rsidRPr="003F5641">
        <w:rPr>
          <w:b/>
          <w:bCs/>
          <w:sz w:val="24"/>
          <w:szCs w:val="24"/>
          <w:lang w:val="en-GB"/>
        </w:rPr>
        <w:t xml:space="preserve"> </w:t>
      </w:r>
      <w:r w:rsidRPr="003F5641">
        <w:rPr>
          <w:b/>
          <w:bCs/>
          <w:sz w:val="24"/>
          <w:szCs w:val="24"/>
          <w:lang w:val="en-GB"/>
        </w:rPr>
        <w:t>in the study programs for initial teacher education</w:t>
      </w:r>
      <w:r w:rsidRPr="00B71A86">
        <w:rPr>
          <w:sz w:val="24"/>
          <w:szCs w:val="24"/>
          <w:lang w:val="en-GB"/>
        </w:rPr>
        <w:t xml:space="preserve"> would significantly contribute to the implementation of measures from the Strategy</w:t>
      </w:r>
      <w:r w:rsidR="00AA0D31" w:rsidRPr="00F17BE5">
        <w:rPr>
          <w:rStyle w:val="FootnoteReference"/>
          <w:sz w:val="24"/>
          <w:szCs w:val="24"/>
          <w:lang w:val="en-GB"/>
        </w:rPr>
        <w:footnoteReference w:id="2"/>
      </w:r>
      <w:r w:rsidR="00C07939" w:rsidRPr="00F17BE5">
        <w:rPr>
          <w:sz w:val="24"/>
          <w:szCs w:val="24"/>
          <w:lang w:val="en-GB"/>
        </w:rPr>
        <w:t xml:space="preserve">. </w:t>
      </w:r>
      <w:r w:rsidRPr="00B71A86">
        <w:rPr>
          <w:sz w:val="24"/>
          <w:szCs w:val="24"/>
          <w:lang w:val="en-GB"/>
        </w:rPr>
        <w:t>In the theory of higher education organization, the module may have different meanings and different applications at different universities, but the term mainly refers to a functional unit composed of subjects (courses) that can be transferred and thus jointly performed for several study programs.</w:t>
      </w:r>
    </w:p>
    <w:p w14:paraId="0217D02B" w14:textId="1C0AA510" w:rsidR="00351B98" w:rsidRDefault="00351B98" w:rsidP="00C07939">
      <w:pPr>
        <w:spacing w:before="100" w:after="100" w:line="276" w:lineRule="auto"/>
        <w:jc w:val="both"/>
        <w:rPr>
          <w:sz w:val="24"/>
          <w:szCs w:val="24"/>
          <w:lang w:val="en-GB"/>
        </w:rPr>
      </w:pPr>
      <w:r w:rsidRPr="00351B98">
        <w:rPr>
          <w:sz w:val="24"/>
          <w:szCs w:val="24"/>
          <w:lang w:val="en-GB"/>
        </w:rPr>
        <w:t xml:space="preserve">When it comes to the "minimum representation of the pedagogical-psychological and didactic-methodological group of subjects", the Strategy, according to the competencies from the Law on Higher Education, envisages that the decision on that is made by the </w:t>
      </w:r>
      <w:r w:rsidRPr="00351B98">
        <w:rPr>
          <w:b/>
          <w:bCs/>
          <w:sz w:val="24"/>
          <w:szCs w:val="24"/>
          <w:lang w:val="en-GB"/>
        </w:rPr>
        <w:t>Council for Higher Education</w:t>
      </w:r>
      <w:r w:rsidRPr="00351B98">
        <w:rPr>
          <w:sz w:val="24"/>
          <w:szCs w:val="24"/>
          <w:lang w:val="en-GB"/>
        </w:rPr>
        <w:t xml:space="preserve"> as a competent body. The decision would likely be related to the accreditation of teacher education study programs. But such a decision has not been made so far. Taking into account the practice from the </w:t>
      </w:r>
      <w:r w:rsidR="007A0BBB">
        <w:rPr>
          <w:sz w:val="24"/>
          <w:szCs w:val="24"/>
          <w:lang w:val="en-GB"/>
        </w:rPr>
        <w:t>region</w:t>
      </w:r>
      <w:r w:rsidRPr="00351B98">
        <w:rPr>
          <w:sz w:val="24"/>
          <w:szCs w:val="24"/>
          <w:lang w:val="en-GB"/>
        </w:rPr>
        <w:t xml:space="preserve"> and from the EU, but also the existing practice (composition of study programs, number of subjects and student workload, staffing, number of students in individual study programs, legislation, flexibility, etc.), it would be reasonable to suggest that </w:t>
      </w:r>
      <w:r w:rsidRPr="00351B98">
        <w:rPr>
          <w:b/>
          <w:bCs/>
          <w:sz w:val="24"/>
          <w:szCs w:val="24"/>
          <w:lang w:val="en-GB"/>
        </w:rPr>
        <w:t>minimum representation of psychological and didactic-methodical groups of subjects w</w:t>
      </w:r>
      <w:r w:rsidR="007A0BBB">
        <w:rPr>
          <w:b/>
          <w:bCs/>
          <w:sz w:val="24"/>
          <w:szCs w:val="24"/>
          <w:lang w:val="en-GB"/>
        </w:rPr>
        <w:t>ould</w:t>
      </w:r>
      <w:r w:rsidRPr="00351B98">
        <w:rPr>
          <w:b/>
          <w:bCs/>
          <w:sz w:val="24"/>
          <w:szCs w:val="24"/>
          <w:lang w:val="en-GB"/>
        </w:rPr>
        <w:t xml:space="preserve"> be 30 ECTS per cycle of studies</w:t>
      </w:r>
      <w:r w:rsidRPr="00351B98">
        <w:rPr>
          <w:sz w:val="24"/>
          <w:szCs w:val="24"/>
          <w:lang w:val="en-GB"/>
        </w:rPr>
        <w:t xml:space="preserve"> (60 ECTS for integrated studies of the first and second cycle). Modification up to 30 ECTS is not considered a new study program (does not require new accreditation immediately), and at the same time in 60 ECTS (in two cycles - the student acquires the competence of a teacher after the second cycle, master's degree) it is possible to organize a learning and teaching process necessary </w:t>
      </w:r>
      <w:r w:rsidR="007A0BBB">
        <w:rPr>
          <w:sz w:val="24"/>
          <w:szCs w:val="24"/>
          <w:lang w:val="en-GB"/>
        </w:rPr>
        <w:t xml:space="preserve">for </w:t>
      </w:r>
      <w:r w:rsidRPr="00351B98">
        <w:rPr>
          <w:sz w:val="24"/>
          <w:szCs w:val="24"/>
          <w:lang w:val="en-GB"/>
        </w:rPr>
        <w:t>psychological-pedagogical and methodological-didactic competencies, including a focus on key competencies, inclusion, foreign languages and digital technologies.</w:t>
      </w:r>
    </w:p>
    <w:p w14:paraId="37FCCD0B" w14:textId="79FEE32A" w:rsidR="003F03A5" w:rsidRDefault="003F03A5" w:rsidP="00C07939">
      <w:pPr>
        <w:spacing w:before="100" w:after="100" w:line="276" w:lineRule="auto"/>
        <w:jc w:val="both"/>
        <w:rPr>
          <w:sz w:val="24"/>
          <w:szCs w:val="24"/>
          <w:lang w:val="en-GB"/>
        </w:rPr>
      </w:pPr>
      <w:r w:rsidRPr="003F03A5">
        <w:rPr>
          <w:sz w:val="24"/>
          <w:szCs w:val="24"/>
          <w:lang w:val="en-GB"/>
        </w:rPr>
        <w:lastRenderedPageBreak/>
        <w:t xml:space="preserve">From the very description of the problem </w:t>
      </w:r>
      <w:r w:rsidR="00B50A07">
        <w:rPr>
          <w:sz w:val="24"/>
          <w:szCs w:val="24"/>
          <w:lang w:val="en-GB"/>
        </w:rPr>
        <w:t>we can draw</w:t>
      </w:r>
      <w:r w:rsidRPr="003F03A5">
        <w:rPr>
          <w:sz w:val="24"/>
          <w:szCs w:val="24"/>
          <w:lang w:val="en-GB"/>
        </w:rPr>
        <w:t xml:space="preserve"> the content of the module that would give the competencies of teachers: it should have a part related to pedagogical-psychological competencies (e</w:t>
      </w:r>
      <w:r w:rsidR="00B50A07">
        <w:rPr>
          <w:sz w:val="24"/>
          <w:szCs w:val="24"/>
          <w:lang w:val="en-GB"/>
        </w:rPr>
        <w:t>.</w:t>
      </w:r>
      <w:r w:rsidRPr="003F03A5">
        <w:rPr>
          <w:sz w:val="24"/>
          <w:szCs w:val="24"/>
          <w:lang w:val="en-GB"/>
        </w:rPr>
        <w:t>g</w:t>
      </w:r>
      <w:r w:rsidR="00B50A07">
        <w:rPr>
          <w:sz w:val="24"/>
          <w:szCs w:val="24"/>
          <w:lang w:val="en-GB"/>
        </w:rPr>
        <w:t>.</w:t>
      </w:r>
      <w:r w:rsidRPr="003F03A5">
        <w:rPr>
          <w:sz w:val="24"/>
          <w:szCs w:val="24"/>
          <w:lang w:val="en-GB"/>
        </w:rPr>
        <w:t xml:space="preserve"> through the subjects of psychology and pedagogy), and didactic-methodological competencies (e</w:t>
      </w:r>
      <w:r w:rsidR="00B50A07">
        <w:rPr>
          <w:sz w:val="24"/>
          <w:szCs w:val="24"/>
          <w:lang w:val="en-GB"/>
        </w:rPr>
        <w:t>.</w:t>
      </w:r>
      <w:r w:rsidRPr="003F03A5">
        <w:rPr>
          <w:sz w:val="24"/>
          <w:szCs w:val="24"/>
          <w:lang w:val="en-GB"/>
        </w:rPr>
        <w:t>g</w:t>
      </w:r>
      <w:r w:rsidR="00B50A07">
        <w:rPr>
          <w:sz w:val="24"/>
          <w:szCs w:val="24"/>
          <w:lang w:val="en-GB"/>
        </w:rPr>
        <w:t>.</w:t>
      </w:r>
      <w:r w:rsidRPr="003F03A5">
        <w:rPr>
          <w:sz w:val="24"/>
          <w:szCs w:val="24"/>
          <w:lang w:val="en-GB"/>
        </w:rPr>
        <w:t xml:space="preserve"> through the subject of teaching methods). In terms of personnel, </w:t>
      </w:r>
      <w:r w:rsidRPr="003F03A5">
        <w:rPr>
          <w:b/>
          <w:bCs/>
          <w:sz w:val="24"/>
          <w:szCs w:val="24"/>
          <w:lang w:val="en-GB"/>
        </w:rPr>
        <w:t>this does not necessarily mean an imbalance of norms of teachers at faculties that are not native to psychological-pedagogical disciplines</w:t>
      </w:r>
      <w:r w:rsidRPr="003F03A5">
        <w:rPr>
          <w:sz w:val="24"/>
          <w:szCs w:val="24"/>
          <w:lang w:val="en-GB"/>
        </w:rPr>
        <w:t>. According to the current practice, the teaching methodology is performed by teachers of the faculties of the subject disciplines (Faculty of Philology, Faculty of Science, Academy of Music, Faculty of Fine Arts and Faculty of Sports and Physical Education). According to the measures from the Strategy, teaching methods should be enriched with methodical practice that students would perform in primary and secondary schools, which would be achieved through "cooperation between higher education institutions and primary and secondary schools."</w:t>
      </w:r>
    </w:p>
    <w:p w14:paraId="2204A181" w14:textId="65395A87" w:rsidR="00A542C5" w:rsidRPr="00F17BE5" w:rsidRDefault="003E4185" w:rsidP="00A542C5">
      <w:pPr>
        <w:pStyle w:val="Heading1"/>
        <w:numPr>
          <w:ilvl w:val="0"/>
          <w:numId w:val="2"/>
        </w:numPr>
        <w:jc w:val="left"/>
        <w:rPr>
          <w:rFonts w:ascii="Arial" w:hAnsi="Arial" w:cs="Arial"/>
          <w:sz w:val="28"/>
          <w:szCs w:val="28"/>
          <w:lang w:val="en-GB"/>
        </w:rPr>
      </w:pPr>
      <w:bookmarkStart w:id="2" w:name="_Toc52815345"/>
      <w:r>
        <w:rPr>
          <w:rFonts w:ascii="Arial" w:hAnsi="Arial" w:cs="Arial"/>
          <w:sz w:val="28"/>
          <w:szCs w:val="28"/>
          <w:lang w:val="en-GB"/>
        </w:rPr>
        <w:t>Project: Integration of Key Competences in the Education System of Montenegro</w:t>
      </w:r>
      <w:bookmarkEnd w:id="2"/>
      <w:r>
        <w:rPr>
          <w:rFonts w:ascii="Arial" w:hAnsi="Arial" w:cs="Arial"/>
          <w:sz w:val="28"/>
          <w:szCs w:val="28"/>
          <w:lang w:val="en-GB"/>
        </w:rPr>
        <w:t xml:space="preserve"> </w:t>
      </w:r>
    </w:p>
    <w:p w14:paraId="7B593523" w14:textId="4A6EA81D" w:rsidR="00C07939" w:rsidRPr="00F17BE5" w:rsidRDefault="00505819" w:rsidP="00C07939">
      <w:pPr>
        <w:spacing w:before="100" w:after="100" w:line="276" w:lineRule="auto"/>
        <w:jc w:val="both"/>
        <w:rPr>
          <w:sz w:val="24"/>
          <w:szCs w:val="24"/>
          <w:lang w:val="en-GB"/>
        </w:rPr>
      </w:pPr>
      <w:r w:rsidRPr="00505819">
        <w:rPr>
          <w:sz w:val="24"/>
          <w:szCs w:val="24"/>
          <w:lang w:val="en-GB"/>
        </w:rPr>
        <w:t xml:space="preserve">The project refers to the implementation of the EU policy on key competences for lifelong learning, defined by the Recommendations of the </w:t>
      </w:r>
      <w:r w:rsidRPr="00505819">
        <w:rPr>
          <w:i/>
          <w:iCs/>
          <w:sz w:val="24"/>
          <w:szCs w:val="24"/>
          <w:lang w:val="en-GB"/>
        </w:rPr>
        <w:t>Parliament and the Council of the EU</w:t>
      </w:r>
      <w:r w:rsidRPr="00505819">
        <w:rPr>
          <w:sz w:val="24"/>
          <w:szCs w:val="24"/>
          <w:lang w:val="en-GB"/>
        </w:rPr>
        <w:t xml:space="preserve"> on the European reference framework of key competences for lifelong learning (2006, 2018). Basic information about the Project are:</w:t>
      </w:r>
    </w:p>
    <w:tbl>
      <w:tblPr>
        <w:tblStyle w:val="TableGrid"/>
        <w:tblW w:w="0" w:type="auto"/>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1975"/>
        <w:gridCol w:w="8100"/>
      </w:tblGrid>
      <w:tr w:rsidR="00354897" w:rsidRPr="00F17BE5" w14:paraId="13C9D4D9" w14:textId="77777777" w:rsidTr="006D684A">
        <w:tc>
          <w:tcPr>
            <w:tcW w:w="1975" w:type="dxa"/>
            <w:vAlign w:val="center"/>
          </w:tcPr>
          <w:p w14:paraId="1276FFFC" w14:textId="77777777" w:rsidR="00354897" w:rsidRPr="00F17BE5" w:rsidRDefault="00354897" w:rsidP="00354897">
            <w:pPr>
              <w:spacing w:before="100" w:after="100" w:line="276" w:lineRule="auto"/>
              <w:jc w:val="both"/>
              <w:rPr>
                <w:sz w:val="24"/>
                <w:szCs w:val="24"/>
                <w:lang w:val="en-GB"/>
              </w:rPr>
            </w:pPr>
            <w:r w:rsidRPr="00F17BE5">
              <w:rPr>
                <w:sz w:val="24"/>
                <w:szCs w:val="24"/>
                <w:lang w:val="en-GB"/>
              </w:rPr>
              <w:t>Program:</w:t>
            </w:r>
          </w:p>
        </w:tc>
        <w:tc>
          <w:tcPr>
            <w:tcW w:w="8100" w:type="dxa"/>
          </w:tcPr>
          <w:p w14:paraId="7A4713A7" w14:textId="361FF940" w:rsidR="00354897" w:rsidRPr="00F17BE5" w:rsidRDefault="00354897" w:rsidP="00354897">
            <w:pPr>
              <w:spacing w:before="100" w:after="100" w:line="276" w:lineRule="auto"/>
              <w:jc w:val="both"/>
              <w:rPr>
                <w:sz w:val="24"/>
                <w:szCs w:val="24"/>
                <w:lang w:val="en-GB"/>
              </w:rPr>
            </w:pPr>
            <w:r w:rsidRPr="00546713">
              <w:t>IPA II. - Sectoral Operational Program for Employment, Education and Social Policy of Montenegro 2015-2017</w:t>
            </w:r>
          </w:p>
        </w:tc>
      </w:tr>
      <w:tr w:rsidR="00354897" w:rsidRPr="00F17BE5" w14:paraId="1E77DF20" w14:textId="77777777" w:rsidTr="006D684A">
        <w:tc>
          <w:tcPr>
            <w:tcW w:w="1975" w:type="dxa"/>
          </w:tcPr>
          <w:p w14:paraId="40F740F4" w14:textId="4A289A31" w:rsidR="00354897" w:rsidRPr="00354897" w:rsidRDefault="00354897" w:rsidP="00354897">
            <w:pPr>
              <w:spacing w:before="100" w:after="100" w:line="276" w:lineRule="auto"/>
              <w:jc w:val="both"/>
              <w:rPr>
                <w:sz w:val="24"/>
                <w:szCs w:val="24"/>
                <w:lang w:val="en-GB"/>
              </w:rPr>
            </w:pPr>
            <w:r w:rsidRPr="00354897">
              <w:rPr>
                <w:sz w:val="24"/>
                <w:szCs w:val="24"/>
              </w:rPr>
              <w:t>Project Title:</w:t>
            </w:r>
          </w:p>
        </w:tc>
        <w:tc>
          <w:tcPr>
            <w:tcW w:w="8100" w:type="dxa"/>
          </w:tcPr>
          <w:p w14:paraId="6883AC5A" w14:textId="292903CE" w:rsidR="00354897" w:rsidRPr="00F17BE5" w:rsidRDefault="00354897" w:rsidP="00354897">
            <w:pPr>
              <w:spacing w:before="100" w:after="100" w:line="276" w:lineRule="auto"/>
              <w:jc w:val="both"/>
              <w:rPr>
                <w:sz w:val="24"/>
                <w:szCs w:val="24"/>
                <w:lang w:val="en-GB"/>
              </w:rPr>
            </w:pPr>
            <w:r w:rsidRPr="00546713">
              <w:t>Integration of key competencies into the education system of Montenegro</w:t>
            </w:r>
          </w:p>
        </w:tc>
      </w:tr>
      <w:tr w:rsidR="00354897" w:rsidRPr="00F17BE5" w14:paraId="27FF026B" w14:textId="77777777" w:rsidTr="006D684A">
        <w:tc>
          <w:tcPr>
            <w:tcW w:w="1975" w:type="dxa"/>
          </w:tcPr>
          <w:p w14:paraId="77B78DB6" w14:textId="1CDA5ECD" w:rsidR="00354897" w:rsidRPr="00354897" w:rsidRDefault="00354897" w:rsidP="00354897">
            <w:pPr>
              <w:spacing w:before="100" w:after="100" w:line="276" w:lineRule="auto"/>
              <w:jc w:val="both"/>
              <w:rPr>
                <w:sz w:val="24"/>
                <w:szCs w:val="24"/>
                <w:lang w:val="en-GB"/>
              </w:rPr>
            </w:pPr>
            <w:r w:rsidRPr="00354897">
              <w:rPr>
                <w:sz w:val="24"/>
                <w:szCs w:val="24"/>
              </w:rPr>
              <w:t>Contracting authority:</w:t>
            </w:r>
          </w:p>
        </w:tc>
        <w:tc>
          <w:tcPr>
            <w:tcW w:w="8100" w:type="dxa"/>
          </w:tcPr>
          <w:p w14:paraId="57C47D12" w14:textId="4800285A" w:rsidR="00354897" w:rsidRPr="00F17BE5" w:rsidRDefault="00354897" w:rsidP="00354897">
            <w:pPr>
              <w:spacing w:before="100" w:after="100" w:line="276" w:lineRule="auto"/>
              <w:jc w:val="both"/>
              <w:rPr>
                <w:sz w:val="24"/>
                <w:szCs w:val="24"/>
                <w:lang w:val="en-GB"/>
              </w:rPr>
            </w:pPr>
            <w:r w:rsidRPr="00546713">
              <w:t>Ministry of Finance of Montenegro, Directorate for Financing and Contracting of EU Aid Funds</w:t>
            </w:r>
          </w:p>
        </w:tc>
      </w:tr>
      <w:tr w:rsidR="00354897" w:rsidRPr="00F17BE5" w14:paraId="19B06229" w14:textId="77777777" w:rsidTr="00354897">
        <w:trPr>
          <w:trHeight w:val="2631"/>
        </w:trPr>
        <w:tc>
          <w:tcPr>
            <w:tcW w:w="1975" w:type="dxa"/>
          </w:tcPr>
          <w:p w14:paraId="7D0C8567" w14:textId="6F08CE0C" w:rsidR="00354897" w:rsidRPr="00354897" w:rsidRDefault="00354897" w:rsidP="00354897">
            <w:pPr>
              <w:spacing w:before="100" w:after="100" w:line="276" w:lineRule="auto"/>
              <w:jc w:val="both"/>
              <w:rPr>
                <w:sz w:val="24"/>
                <w:szCs w:val="24"/>
                <w:lang w:val="en-GB"/>
              </w:rPr>
            </w:pPr>
            <w:r w:rsidRPr="00354897">
              <w:rPr>
                <w:sz w:val="24"/>
                <w:szCs w:val="24"/>
              </w:rPr>
              <w:t>Beneficiary institutions:</w:t>
            </w:r>
          </w:p>
        </w:tc>
        <w:tc>
          <w:tcPr>
            <w:tcW w:w="8100" w:type="dxa"/>
            <w:vAlign w:val="center"/>
          </w:tcPr>
          <w:p w14:paraId="7720C15E" w14:textId="77777777" w:rsidR="00354897" w:rsidRPr="00354897" w:rsidRDefault="00354897" w:rsidP="00354897">
            <w:pPr>
              <w:pStyle w:val="NormalWeb"/>
              <w:numPr>
                <w:ilvl w:val="0"/>
                <w:numId w:val="53"/>
              </w:numPr>
              <w:rPr>
                <w:rFonts w:ascii="Roboto" w:eastAsia="Roboto" w:hAnsi="Roboto" w:cs="Roboto"/>
                <w:lang w:val="en-GB" w:eastAsia="pl-PL" w:bidi="pl-PL"/>
              </w:rPr>
            </w:pPr>
            <w:r w:rsidRPr="00354897">
              <w:rPr>
                <w:rFonts w:ascii="Roboto" w:eastAsia="Roboto" w:hAnsi="Roboto" w:cs="Roboto"/>
                <w:lang w:val="en-GB" w:eastAsia="pl-PL" w:bidi="pl-PL"/>
              </w:rPr>
              <w:t>Ministry of Education - main beneficiary</w:t>
            </w:r>
          </w:p>
          <w:p w14:paraId="3EA73081" w14:textId="57B1BC8D" w:rsidR="00354897" w:rsidRPr="00354897" w:rsidRDefault="00354897" w:rsidP="00354897">
            <w:pPr>
              <w:pStyle w:val="NormalWeb"/>
              <w:numPr>
                <w:ilvl w:val="0"/>
                <w:numId w:val="53"/>
              </w:numPr>
              <w:rPr>
                <w:rFonts w:ascii="Roboto" w:eastAsia="Roboto" w:hAnsi="Roboto" w:cs="Roboto"/>
                <w:lang w:val="en-GB" w:eastAsia="pl-PL" w:bidi="pl-PL"/>
              </w:rPr>
            </w:pPr>
            <w:r>
              <w:rPr>
                <w:rFonts w:ascii="Roboto" w:eastAsia="Roboto" w:hAnsi="Roboto" w:cs="Roboto"/>
                <w:lang w:val="en-GB" w:eastAsia="pl-PL" w:bidi="pl-PL"/>
              </w:rPr>
              <w:t xml:space="preserve">Bureau </w:t>
            </w:r>
            <w:r w:rsidRPr="00354897">
              <w:rPr>
                <w:rFonts w:ascii="Roboto" w:eastAsia="Roboto" w:hAnsi="Roboto" w:cs="Roboto"/>
                <w:lang w:val="en-GB" w:eastAsia="pl-PL" w:bidi="pl-PL"/>
              </w:rPr>
              <w:t>for Education</w:t>
            </w:r>
            <w:r>
              <w:rPr>
                <w:rFonts w:ascii="Roboto" w:eastAsia="Roboto" w:hAnsi="Roboto" w:cs="Roboto"/>
                <w:lang w:val="en-GB" w:eastAsia="pl-PL" w:bidi="pl-PL"/>
              </w:rPr>
              <w:t xml:space="preserve"> Services</w:t>
            </w:r>
          </w:p>
          <w:p w14:paraId="2EFC9A5C" w14:textId="0F71B9A9" w:rsidR="00354897" w:rsidRPr="00354897" w:rsidRDefault="00354897" w:rsidP="00354897">
            <w:pPr>
              <w:pStyle w:val="NormalWeb"/>
              <w:numPr>
                <w:ilvl w:val="0"/>
                <w:numId w:val="53"/>
              </w:numPr>
              <w:rPr>
                <w:rFonts w:ascii="Roboto" w:eastAsia="Roboto" w:hAnsi="Roboto" w:cs="Roboto"/>
                <w:lang w:val="en-GB" w:eastAsia="pl-PL" w:bidi="pl-PL"/>
              </w:rPr>
            </w:pPr>
            <w:r w:rsidRPr="00354897">
              <w:rPr>
                <w:rFonts w:ascii="Roboto" w:eastAsia="Roboto" w:hAnsi="Roboto" w:cs="Roboto"/>
                <w:lang w:val="en-GB" w:eastAsia="pl-PL" w:bidi="pl-PL"/>
              </w:rPr>
              <w:t>Cent</w:t>
            </w:r>
            <w:r>
              <w:rPr>
                <w:rFonts w:ascii="Roboto" w:eastAsia="Roboto" w:hAnsi="Roboto" w:cs="Roboto"/>
                <w:lang w:val="en-GB" w:eastAsia="pl-PL" w:bidi="pl-PL"/>
              </w:rPr>
              <w:t>re</w:t>
            </w:r>
            <w:r w:rsidRPr="00354897">
              <w:rPr>
                <w:rFonts w:ascii="Roboto" w:eastAsia="Roboto" w:hAnsi="Roboto" w:cs="Roboto"/>
                <w:lang w:val="en-GB" w:eastAsia="pl-PL" w:bidi="pl-PL"/>
              </w:rPr>
              <w:t xml:space="preserve"> for Vocational Education</w:t>
            </w:r>
          </w:p>
          <w:p w14:paraId="2BBA7891" w14:textId="00D71D98" w:rsidR="00354897" w:rsidRPr="00354897" w:rsidRDefault="00354897" w:rsidP="00354897">
            <w:pPr>
              <w:pStyle w:val="NormalWeb"/>
              <w:numPr>
                <w:ilvl w:val="0"/>
                <w:numId w:val="53"/>
              </w:numPr>
              <w:rPr>
                <w:rFonts w:ascii="Roboto" w:eastAsia="Roboto" w:hAnsi="Roboto" w:cs="Roboto"/>
                <w:lang w:val="en-GB" w:eastAsia="pl-PL" w:bidi="pl-PL"/>
              </w:rPr>
            </w:pPr>
            <w:r w:rsidRPr="00354897">
              <w:rPr>
                <w:rFonts w:ascii="Roboto" w:eastAsia="Roboto" w:hAnsi="Roboto" w:cs="Roboto"/>
                <w:lang w:val="en-GB" w:eastAsia="pl-PL" w:bidi="pl-PL"/>
              </w:rPr>
              <w:t>Examination</w:t>
            </w:r>
            <w:r>
              <w:rPr>
                <w:rFonts w:ascii="Roboto" w:eastAsia="Roboto" w:hAnsi="Roboto" w:cs="Roboto"/>
                <w:lang w:val="en-GB" w:eastAsia="pl-PL" w:bidi="pl-PL"/>
              </w:rPr>
              <w:t xml:space="preserve"> Centre</w:t>
            </w:r>
          </w:p>
          <w:p w14:paraId="2BB00E8C" w14:textId="57970EDC" w:rsidR="00354897" w:rsidRPr="00354897" w:rsidRDefault="00354897" w:rsidP="00354897">
            <w:pPr>
              <w:pStyle w:val="NormalWeb"/>
              <w:numPr>
                <w:ilvl w:val="0"/>
                <w:numId w:val="53"/>
              </w:numPr>
              <w:rPr>
                <w:rFonts w:ascii="Roboto" w:eastAsia="Roboto" w:hAnsi="Roboto" w:cs="Roboto"/>
                <w:lang w:val="en-GB" w:eastAsia="pl-PL" w:bidi="pl-PL"/>
              </w:rPr>
            </w:pPr>
            <w:r w:rsidRPr="00354897">
              <w:rPr>
                <w:rFonts w:ascii="Roboto" w:eastAsia="Roboto" w:hAnsi="Roboto" w:cs="Roboto"/>
                <w:lang w:val="en-GB" w:eastAsia="pl-PL" w:bidi="pl-PL"/>
              </w:rPr>
              <w:t>University of Montenegro - Faculty of Philosophy, Faculty of Philology, Faculty of Science</w:t>
            </w:r>
          </w:p>
          <w:p w14:paraId="785FDFB5" w14:textId="43146798" w:rsidR="00354897" w:rsidRDefault="00354897" w:rsidP="00354897">
            <w:pPr>
              <w:pStyle w:val="NormalWeb"/>
              <w:numPr>
                <w:ilvl w:val="0"/>
                <w:numId w:val="53"/>
              </w:numPr>
              <w:spacing w:before="0" w:beforeAutospacing="0" w:after="0" w:afterAutospacing="0"/>
              <w:rPr>
                <w:rFonts w:ascii="Roboto" w:eastAsia="Roboto" w:hAnsi="Roboto" w:cs="Roboto"/>
                <w:lang w:val="en-GB" w:eastAsia="pl-PL" w:bidi="pl-PL"/>
              </w:rPr>
            </w:pPr>
            <w:r>
              <w:rPr>
                <w:rFonts w:ascii="Roboto" w:eastAsia="Roboto" w:hAnsi="Roboto" w:cs="Roboto"/>
                <w:lang w:val="en-GB" w:eastAsia="pl-PL" w:bidi="pl-PL"/>
              </w:rPr>
              <w:t>P</w:t>
            </w:r>
            <w:r w:rsidRPr="00354897">
              <w:rPr>
                <w:rFonts w:ascii="Roboto" w:eastAsia="Roboto" w:hAnsi="Roboto" w:cs="Roboto"/>
                <w:lang w:val="en-GB" w:eastAsia="pl-PL" w:bidi="pl-PL"/>
              </w:rPr>
              <w:t>rimary and secondary schools</w:t>
            </w:r>
          </w:p>
          <w:p w14:paraId="145B9D5B" w14:textId="057A9729" w:rsidR="00354897" w:rsidRPr="00F17BE5" w:rsidRDefault="00354897" w:rsidP="00354897">
            <w:pPr>
              <w:pStyle w:val="ListParagraph"/>
              <w:widowControl/>
              <w:autoSpaceDE/>
              <w:autoSpaceDN/>
              <w:ind w:left="346"/>
              <w:contextualSpacing/>
              <w:jc w:val="both"/>
              <w:rPr>
                <w:sz w:val="24"/>
                <w:szCs w:val="24"/>
                <w:lang w:val="en-GB"/>
              </w:rPr>
            </w:pPr>
          </w:p>
        </w:tc>
      </w:tr>
      <w:tr w:rsidR="00354897" w:rsidRPr="00F17BE5" w14:paraId="3E9C1860" w14:textId="77777777" w:rsidTr="00AD1B52">
        <w:tc>
          <w:tcPr>
            <w:tcW w:w="1975" w:type="dxa"/>
          </w:tcPr>
          <w:p w14:paraId="1EB277EB" w14:textId="7FBF2322" w:rsidR="00354897" w:rsidRPr="00354897" w:rsidRDefault="00354897" w:rsidP="00354897">
            <w:pPr>
              <w:spacing w:before="100" w:after="100" w:line="276" w:lineRule="auto"/>
              <w:jc w:val="both"/>
              <w:rPr>
                <w:sz w:val="24"/>
                <w:szCs w:val="24"/>
                <w:lang w:val="en-GB"/>
              </w:rPr>
            </w:pPr>
            <w:r w:rsidRPr="00354897">
              <w:rPr>
                <w:sz w:val="24"/>
                <w:szCs w:val="24"/>
              </w:rPr>
              <w:t>Implementation period:</w:t>
            </w:r>
          </w:p>
        </w:tc>
        <w:tc>
          <w:tcPr>
            <w:tcW w:w="8100" w:type="dxa"/>
            <w:vAlign w:val="center"/>
          </w:tcPr>
          <w:p w14:paraId="3FAF2E9D" w14:textId="1CF700D7" w:rsidR="00354897" w:rsidRPr="00354897" w:rsidRDefault="00354897" w:rsidP="00354897">
            <w:pPr>
              <w:spacing w:before="100" w:after="100" w:line="276" w:lineRule="auto"/>
              <w:jc w:val="both"/>
              <w:rPr>
                <w:sz w:val="24"/>
                <w:szCs w:val="24"/>
                <w:lang w:val="en-GB"/>
              </w:rPr>
            </w:pPr>
            <w:r w:rsidRPr="00354897">
              <w:rPr>
                <w:sz w:val="24"/>
                <w:szCs w:val="24"/>
                <w:lang w:val="en-GB"/>
              </w:rPr>
              <w:t>Two years (</w:t>
            </w:r>
            <w:r w:rsidRPr="00354897">
              <w:rPr>
                <w:sz w:val="24"/>
                <w:szCs w:val="24"/>
                <w:cs/>
                <w:lang w:val="en-GB" w:bidi="ta-IN"/>
              </w:rPr>
              <w:t>30</w:t>
            </w:r>
            <w:r w:rsidRPr="00354897">
              <w:rPr>
                <w:rFonts w:cs="Latha"/>
                <w:sz w:val="24"/>
                <w:szCs w:val="24"/>
                <w:cs/>
                <w:lang w:val="en-GB" w:bidi="ta-IN"/>
              </w:rPr>
              <w:t xml:space="preserve"> August </w:t>
            </w:r>
            <w:r w:rsidRPr="00354897">
              <w:rPr>
                <w:sz w:val="24"/>
                <w:szCs w:val="24"/>
                <w:cs/>
                <w:lang w:val="en-GB" w:bidi="ta-IN"/>
              </w:rPr>
              <w:t xml:space="preserve">2019 </w:t>
            </w:r>
            <w:r w:rsidRPr="00354897">
              <w:rPr>
                <w:sz w:val="24"/>
                <w:szCs w:val="24"/>
                <w:cs/>
                <w:lang w:val="en-GB" w:bidi="mr-IN"/>
              </w:rPr>
              <w:t>–</w:t>
            </w:r>
            <w:r w:rsidRPr="00354897">
              <w:rPr>
                <w:sz w:val="24"/>
                <w:szCs w:val="24"/>
                <w:cs/>
                <w:lang w:val="en-GB" w:bidi="ta-IN"/>
              </w:rPr>
              <w:t xml:space="preserve"> 29</w:t>
            </w:r>
            <w:r w:rsidRPr="00354897">
              <w:rPr>
                <w:rFonts w:cs="Latha"/>
                <w:sz w:val="24"/>
                <w:szCs w:val="24"/>
                <w:cs/>
                <w:lang w:val="en-GB" w:bidi="ta-IN"/>
              </w:rPr>
              <w:t xml:space="preserve"> August </w:t>
            </w:r>
            <w:r w:rsidRPr="00354897">
              <w:rPr>
                <w:sz w:val="24"/>
                <w:szCs w:val="24"/>
                <w:cs/>
                <w:lang w:val="en-GB" w:bidi="ta-IN"/>
              </w:rPr>
              <w:t>2021)</w:t>
            </w:r>
          </w:p>
        </w:tc>
      </w:tr>
      <w:tr w:rsidR="00354897" w:rsidRPr="00F17BE5" w14:paraId="1DAEF208" w14:textId="77777777" w:rsidTr="00AD1B52">
        <w:tc>
          <w:tcPr>
            <w:tcW w:w="1975" w:type="dxa"/>
          </w:tcPr>
          <w:p w14:paraId="055FDE77" w14:textId="256B00B7" w:rsidR="00354897" w:rsidRPr="00354897" w:rsidRDefault="00354897" w:rsidP="00354897">
            <w:pPr>
              <w:spacing w:before="100" w:after="100" w:line="276" w:lineRule="auto"/>
              <w:jc w:val="both"/>
              <w:rPr>
                <w:sz w:val="24"/>
                <w:szCs w:val="24"/>
                <w:lang w:val="en-GB"/>
              </w:rPr>
            </w:pPr>
            <w:r w:rsidRPr="00354897">
              <w:rPr>
                <w:sz w:val="24"/>
                <w:szCs w:val="24"/>
              </w:rPr>
              <w:t>Total budget:</w:t>
            </w:r>
          </w:p>
        </w:tc>
        <w:tc>
          <w:tcPr>
            <w:tcW w:w="8100" w:type="dxa"/>
            <w:vAlign w:val="center"/>
          </w:tcPr>
          <w:p w14:paraId="49E62890" w14:textId="6291FD47" w:rsidR="00354897" w:rsidRPr="00F17BE5" w:rsidRDefault="00354897" w:rsidP="00354897">
            <w:pPr>
              <w:spacing w:before="100" w:after="100" w:line="276" w:lineRule="auto"/>
              <w:jc w:val="both"/>
              <w:rPr>
                <w:sz w:val="24"/>
                <w:szCs w:val="24"/>
                <w:lang w:val="en-GB"/>
              </w:rPr>
            </w:pPr>
            <w:r w:rsidRPr="00F17BE5">
              <w:rPr>
                <w:sz w:val="24"/>
                <w:szCs w:val="24"/>
                <w:cs/>
                <w:lang w:val="en-GB" w:bidi="ta-IN"/>
              </w:rPr>
              <w:t>939</w:t>
            </w:r>
            <w:r w:rsidRPr="00F17BE5">
              <w:rPr>
                <w:sz w:val="24"/>
                <w:szCs w:val="24"/>
                <w:lang w:val="en-GB"/>
              </w:rPr>
              <w:t>,</w:t>
            </w:r>
            <w:r w:rsidRPr="00F17BE5">
              <w:rPr>
                <w:sz w:val="24"/>
                <w:szCs w:val="24"/>
                <w:cs/>
                <w:lang w:val="en-GB" w:bidi="ta-IN"/>
              </w:rPr>
              <w:t xml:space="preserve">779.70 </w:t>
            </w:r>
            <w:r w:rsidRPr="00F17BE5">
              <w:rPr>
                <w:sz w:val="24"/>
                <w:szCs w:val="24"/>
                <w:lang w:val="en-GB"/>
              </w:rPr>
              <w:t xml:space="preserve">€ (85% EU, 15% </w:t>
            </w:r>
            <w:r>
              <w:rPr>
                <w:sz w:val="24"/>
                <w:szCs w:val="24"/>
                <w:lang w:val="en-GB"/>
              </w:rPr>
              <w:t>Government of Montenegro</w:t>
            </w:r>
            <w:r w:rsidRPr="00F17BE5">
              <w:rPr>
                <w:sz w:val="24"/>
                <w:szCs w:val="24"/>
                <w:lang w:val="en-GB"/>
              </w:rPr>
              <w:t>)</w:t>
            </w:r>
          </w:p>
        </w:tc>
      </w:tr>
      <w:tr w:rsidR="00354897" w:rsidRPr="00F17BE5" w14:paraId="1BA64736" w14:textId="77777777" w:rsidTr="00AD1B52">
        <w:tc>
          <w:tcPr>
            <w:tcW w:w="1975" w:type="dxa"/>
          </w:tcPr>
          <w:p w14:paraId="5B87EEF4" w14:textId="4EA0DD52" w:rsidR="00354897" w:rsidRPr="00354897" w:rsidRDefault="00354897" w:rsidP="00354897">
            <w:pPr>
              <w:spacing w:before="100" w:after="100" w:line="276" w:lineRule="auto"/>
              <w:jc w:val="both"/>
              <w:rPr>
                <w:sz w:val="24"/>
                <w:szCs w:val="24"/>
                <w:lang w:val="en-GB"/>
              </w:rPr>
            </w:pPr>
            <w:r w:rsidRPr="00354897">
              <w:rPr>
                <w:sz w:val="24"/>
                <w:szCs w:val="24"/>
              </w:rPr>
              <w:lastRenderedPageBreak/>
              <w:t>General goal of the Project:</w:t>
            </w:r>
          </w:p>
        </w:tc>
        <w:tc>
          <w:tcPr>
            <w:tcW w:w="8100" w:type="dxa"/>
          </w:tcPr>
          <w:p w14:paraId="08E6DC83" w14:textId="2427EC78" w:rsidR="00354897" w:rsidRPr="00F17BE5" w:rsidRDefault="00354897" w:rsidP="00354897">
            <w:pPr>
              <w:spacing w:before="100" w:after="100" w:line="276" w:lineRule="auto"/>
              <w:jc w:val="both"/>
              <w:rPr>
                <w:sz w:val="24"/>
                <w:szCs w:val="24"/>
                <w:lang w:val="en-GB"/>
              </w:rPr>
            </w:pPr>
            <w:r w:rsidRPr="00354897">
              <w:rPr>
                <w:sz w:val="24"/>
                <w:szCs w:val="24"/>
                <w:lang w:val="en-GB"/>
              </w:rPr>
              <w:t>Improve the quality of primary and secondary education provision and support initial teacher training, continuous professional development of teachers and quality assurance at the level of primary, secondary and higher education.</w:t>
            </w:r>
          </w:p>
        </w:tc>
      </w:tr>
      <w:tr w:rsidR="00354897" w:rsidRPr="00F17BE5" w14:paraId="4963DBD0" w14:textId="77777777" w:rsidTr="00AD1B52">
        <w:tc>
          <w:tcPr>
            <w:tcW w:w="1975" w:type="dxa"/>
          </w:tcPr>
          <w:p w14:paraId="5506B03E" w14:textId="114E09E5" w:rsidR="00354897" w:rsidRPr="00354897" w:rsidRDefault="00354897" w:rsidP="00354897">
            <w:pPr>
              <w:spacing w:before="100" w:after="100" w:line="276" w:lineRule="auto"/>
              <w:jc w:val="both"/>
              <w:rPr>
                <w:sz w:val="24"/>
                <w:szCs w:val="24"/>
                <w:lang w:val="en-GB"/>
              </w:rPr>
            </w:pPr>
            <w:r w:rsidRPr="00354897">
              <w:rPr>
                <w:sz w:val="24"/>
                <w:szCs w:val="24"/>
              </w:rPr>
              <w:t>Project purpose:</w:t>
            </w:r>
          </w:p>
        </w:tc>
        <w:tc>
          <w:tcPr>
            <w:tcW w:w="8100" w:type="dxa"/>
          </w:tcPr>
          <w:p w14:paraId="62C3D4FF" w14:textId="14F997CA" w:rsidR="00EC0824" w:rsidRPr="00EC0824" w:rsidRDefault="00EC0824" w:rsidP="00EC0824">
            <w:pPr>
              <w:pStyle w:val="ListParagraph"/>
              <w:widowControl/>
              <w:numPr>
                <w:ilvl w:val="0"/>
                <w:numId w:val="54"/>
              </w:numPr>
              <w:autoSpaceDE/>
              <w:autoSpaceDN/>
              <w:spacing w:before="100" w:after="100" w:line="276" w:lineRule="auto"/>
              <w:contextualSpacing/>
              <w:jc w:val="both"/>
              <w:rPr>
                <w:sz w:val="24"/>
                <w:szCs w:val="24"/>
                <w:lang w:val="en-GB"/>
              </w:rPr>
            </w:pPr>
            <w:r w:rsidRPr="00EC0824">
              <w:rPr>
                <w:sz w:val="24"/>
                <w:szCs w:val="24"/>
                <w:lang w:val="en-GB"/>
              </w:rPr>
              <w:t>Improving student achievement in relation to key competences for lifelong learning and the quality of work and teaching in primary and secondary education;</w:t>
            </w:r>
          </w:p>
          <w:p w14:paraId="0DCF1FCB" w14:textId="43F7A376" w:rsidR="00EC0824" w:rsidRPr="00EC0824" w:rsidRDefault="00EC0824" w:rsidP="00EC0824">
            <w:pPr>
              <w:pStyle w:val="ListParagraph"/>
              <w:widowControl/>
              <w:numPr>
                <w:ilvl w:val="0"/>
                <w:numId w:val="54"/>
              </w:numPr>
              <w:autoSpaceDE/>
              <w:autoSpaceDN/>
              <w:spacing w:before="100" w:after="100" w:line="276" w:lineRule="auto"/>
              <w:contextualSpacing/>
              <w:jc w:val="both"/>
              <w:rPr>
                <w:sz w:val="24"/>
                <w:szCs w:val="24"/>
                <w:lang w:val="en-GB"/>
              </w:rPr>
            </w:pPr>
            <w:r w:rsidRPr="00EC0824">
              <w:rPr>
                <w:sz w:val="24"/>
                <w:szCs w:val="24"/>
                <w:lang w:val="en-GB"/>
              </w:rPr>
              <w:t>Improving the quality assurance system at all levels;</w:t>
            </w:r>
          </w:p>
          <w:p w14:paraId="796240FB" w14:textId="135EC4FA" w:rsidR="00354897" w:rsidRPr="00F17BE5" w:rsidRDefault="00EC0824" w:rsidP="00EC0824">
            <w:pPr>
              <w:pStyle w:val="ListParagraph"/>
              <w:widowControl/>
              <w:numPr>
                <w:ilvl w:val="0"/>
                <w:numId w:val="54"/>
              </w:numPr>
              <w:autoSpaceDE/>
              <w:autoSpaceDN/>
              <w:spacing w:before="100" w:after="100" w:line="276" w:lineRule="auto"/>
              <w:contextualSpacing/>
              <w:jc w:val="both"/>
              <w:rPr>
                <w:sz w:val="24"/>
                <w:szCs w:val="24"/>
                <w:lang w:val="en-GB"/>
              </w:rPr>
            </w:pPr>
            <w:r w:rsidRPr="00EC0824">
              <w:rPr>
                <w:sz w:val="24"/>
                <w:szCs w:val="24"/>
                <w:lang w:val="en-GB"/>
              </w:rPr>
              <w:t xml:space="preserve">Development of education and professional competence of teachers both in initial teacher education and in continuous professional development in terms of integration of key competences in learning with a special focus on </w:t>
            </w:r>
            <w:r>
              <w:rPr>
                <w:sz w:val="24"/>
                <w:szCs w:val="24"/>
                <w:lang w:val="en-GB"/>
              </w:rPr>
              <w:t>STEM</w:t>
            </w:r>
            <w:r w:rsidRPr="00EC0824">
              <w:rPr>
                <w:sz w:val="24"/>
                <w:szCs w:val="24"/>
                <w:lang w:val="en-GB"/>
              </w:rPr>
              <w:t xml:space="preserve"> disciplines.</w:t>
            </w:r>
          </w:p>
        </w:tc>
      </w:tr>
    </w:tbl>
    <w:p w14:paraId="439E2B75" w14:textId="5FB05070" w:rsidR="00FF6CF9" w:rsidRPr="00FF6CF9" w:rsidRDefault="00FF6CF9" w:rsidP="00FF6CF9">
      <w:pPr>
        <w:spacing w:before="100" w:after="100" w:line="276" w:lineRule="auto"/>
        <w:jc w:val="both"/>
        <w:rPr>
          <w:sz w:val="24"/>
          <w:szCs w:val="24"/>
          <w:lang w:val="en-GB"/>
        </w:rPr>
      </w:pPr>
      <w:r w:rsidRPr="00FF6CF9">
        <w:rPr>
          <w:sz w:val="24"/>
          <w:szCs w:val="24"/>
          <w:lang w:val="en-GB"/>
        </w:rPr>
        <w:t xml:space="preserve">The key implementing body of the Project is the </w:t>
      </w:r>
      <w:r w:rsidRPr="00FF6CF9">
        <w:rPr>
          <w:b/>
          <w:bCs/>
          <w:sz w:val="24"/>
          <w:szCs w:val="24"/>
          <w:lang w:val="en-GB"/>
        </w:rPr>
        <w:t>Project Team</w:t>
      </w:r>
      <w:r w:rsidRPr="00FF6CF9">
        <w:rPr>
          <w:sz w:val="24"/>
          <w:szCs w:val="24"/>
          <w:lang w:val="en-GB"/>
        </w:rPr>
        <w:t xml:space="preserve">, composed of representatives of the beneficiary institutions. The project team has 16 members (four representatives of the Ministry of Education, five representatives of the </w:t>
      </w:r>
      <w:r>
        <w:rPr>
          <w:sz w:val="24"/>
          <w:szCs w:val="24"/>
          <w:lang w:val="en-GB"/>
        </w:rPr>
        <w:t>Bureau</w:t>
      </w:r>
      <w:r w:rsidRPr="00FF6CF9">
        <w:rPr>
          <w:sz w:val="24"/>
          <w:szCs w:val="24"/>
          <w:lang w:val="en-GB"/>
        </w:rPr>
        <w:t xml:space="preserve"> of Education</w:t>
      </w:r>
      <w:r>
        <w:rPr>
          <w:sz w:val="24"/>
          <w:szCs w:val="24"/>
          <w:lang w:val="en-GB"/>
        </w:rPr>
        <w:t xml:space="preserve"> Services</w:t>
      </w:r>
      <w:r w:rsidRPr="00FF6CF9">
        <w:rPr>
          <w:sz w:val="24"/>
          <w:szCs w:val="24"/>
          <w:lang w:val="en-GB"/>
        </w:rPr>
        <w:t>, two representatives of the Faculty of Science, and one representative each of the Centre for Vocational Education, Examination Centre, Faculty of Philosophy, Faculty of Philology and Quality Assurance and Control Agency).</w:t>
      </w:r>
    </w:p>
    <w:p w14:paraId="25F5FD73" w14:textId="51497114" w:rsidR="00FF6CF9" w:rsidRPr="00FF6CF9" w:rsidRDefault="00FF6CF9" w:rsidP="00FF6CF9">
      <w:pPr>
        <w:spacing w:before="100" w:after="100" w:line="276" w:lineRule="auto"/>
        <w:jc w:val="both"/>
        <w:rPr>
          <w:sz w:val="24"/>
          <w:szCs w:val="24"/>
          <w:lang w:val="en-GB"/>
        </w:rPr>
      </w:pPr>
      <w:r w:rsidRPr="00FF6CF9">
        <w:rPr>
          <w:sz w:val="24"/>
          <w:szCs w:val="24"/>
          <w:lang w:val="en-GB"/>
        </w:rPr>
        <w:t xml:space="preserve">The project has five components, of which Component 2 Curriculum Development envisages activity 2.6: Pilot revision of the study program of mathematics in terms of pedagogical and psychological, didactic and methodological aspects and content, with a focus on innovative teaching pedagogy and </w:t>
      </w:r>
      <w:r>
        <w:rPr>
          <w:sz w:val="24"/>
          <w:szCs w:val="24"/>
          <w:lang w:val="en-GB"/>
        </w:rPr>
        <w:t>STEM</w:t>
      </w:r>
      <w:r w:rsidRPr="00FF6CF9">
        <w:rPr>
          <w:sz w:val="24"/>
          <w:szCs w:val="24"/>
          <w:lang w:val="en-GB"/>
        </w:rPr>
        <w:t xml:space="preserve"> competencies. Thus, the focus of the Project, according to the general description of the task, should be only on one study program that educates teachers.</w:t>
      </w:r>
    </w:p>
    <w:p w14:paraId="03A30848" w14:textId="27AD8884" w:rsidR="00FF6CF9" w:rsidRPr="00F17BE5" w:rsidRDefault="00FF6CF9" w:rsidP="00C07939">
      <w:pPr>
        <w:spacing w:before="100" w:after="100" w:line="276" w:lineRule="auto"/>
        <w:jc w:val="both"/>
        <w:rPr>
          <w:sz w:val="24"/>
          <w:szCs w:val="24"/>
          <w:lang w:val="en-GB"/>
        </w:rPr>
      </w:pPr>
      <w:r w:rsidRPr="00FF6CF9">
        <w:rPr>
          <w:sz w:val="24"/>
          <w:szCs w:val="24"/>
          <w:lang w:val="en-GB"/>
        </w:rPr>
        <w:t xml:space="preserve">On the one hand, such an approach would only slightly contribute to the general goal and purpose of the Project, while on the other hand there would be a real risk that the pilot version of the revised study program and the developed model of "representation of pedagogical-psychological and didactic-methodological group of subjects" would not be acceptable </w:t>
      </w:r>
      <w:r w:rsidR="00BE5E2B">
        <w:rPr>
          <w:sz w:val="24"/>
          <w:szCs w:val="24"/>
          <w:lang w:val="en-GB"/>
        </w:rPr>
        <w:t xml:space="preserve"> for </w:t>
      </w:r>
      <w:r w:rsidRPr="00FF6CF9">
        <w:rPr>
          <w:sz w:val="24"/>
          <w:szCs w:val="24"/>
          <w:lang w:val="en-GB"/>
        </w:rPr>
        <w:t>faculties that educate teachers at the University of Montenegro, and that the implementation of the Teacher Education Strategy brings a different model. Therefore, the Project decided to modify the implementation of this activity and focus integrally on the measures and activities envisaged by the Strategy</w:t>
      </w:r>
      <w:r w:rsidR="00BE5E2B">
        <w:rPr>
          <w:sz w:val="24"/>
          <w:szCs w:val="24"/>
          <w:lang w:val="en-GB"/>
        </w:rPr>
        <w:t>.</w:t>
      </w:r>
    </w:p>
    <w:p w14:paraId="2EC71385" w14:textId="402914E8" w:rsidR="00A542C5" w:rsidRPr="00F17BE5" w:rsidRDefault="00BE5E2B" w:rsidP="00A542C5">
      <w:pPr>
        <w:pStyle w:val="Heading1"/>
        <w:numPr>
          <w:ilvl w:val="0"/>
          <w:numId w:val="2"/>
        </w:numPr>
        <w:jc w:val="left"/>
        <w:rPr>
          <w:rFonts w:ascii="Arial" w:hAnsi="Arial" w:cs="Arial"/>
          <w:sz w:val="28"/>
          <w:szCs w:val="28"/>
          <w:lang w:val="en-GB"/>
        </w:rPr>
      </w:pPr>
      <w:bookmarkStart w:id="3" w:name="_Toc52815346"/>
      <w:r>
        <w:rPr>
          <w:rFonts w:ascii="Arial" w:hAnsi="Arial" w:cs="Arial"/>
          <w:sz w:val="28"/>
          <w:szCs w:val="28"/>
          <w:lang w:val="en-GB"/>
        </w:rPr>
        <w:t>Proposal of activities</w:t>
      </w:r>
      <w:bookmarkEnd w:id="3"/>
      <w:r>
        <w:rPr>
          <w:rFonts w:ascii="Arial" w:hAnsi="Arial" w:cs="Arial"/>
          <w:sz w:val="28"/>
          <w:szCs w:val="28"/>
          <w:lang w:val="en-GB"/>
        </w:rPr>
        <w:t xml:space="preserve"> </w:t>
      </w:r>
    </w:p>
    <w:p w14:paraId="03E5D017" w14:textId="7327FCFC" w:rsidR="00070B30" w:rsidRDefault="00BE5E2B" w:rsidP="001B40C4">
      <w:pPr>
        <w:spacing w:before="100" w:after="100" w:line="276" w:lineRule="auto"/>
        <w:jc w:val="both"/>
        <w:rPr>
          <w:sz w:val="24"/>
          <w:szCs w:val="24"/>
          <w:lang w:val="en-GB"/>
        </w:rPr>
      </w:pPr>
      <w:r w:rsidRPr="00BE5E2B">
        <w:rPr>
          <w:sz w:val="24"/>
          <w:szCs w:val="24"/>
          <w:lang w:val="en-GB"/>
        </w:rPr>
        <w:t>In order to implement the measures from the Teacher Education Strategy</w:t>
      </w:r>
      <w:r w:rsidR="001B40C4">
        <w:rPr>
          <w:sz w:val="24"/>
          <w:szCs w:val="24"/>
          <w:lang w:val="en-GB"/>
        </w:rPr>
        <w:t xml:space="preserve"> it </w:t>
      </w:r>
      <w:r w:rsidRPr="00BE5E2B">
        <w:rPr>
          <w:sz w:val="24"/>
          <w:szCs w:val="24"/>
          <w:lang w:val="en-GB"/>
        </w:rPr>
        <w:t>is necessary</w:t>
      </w:r>
      <w:r w:rsidR="001B40C4">
        <w:rPr>
          <w:sz w:val="24"/>
          <w:szCs w:val="24"/>
          <w:lang w:val="en-GB"/>
        </w:rPr>
        <w:t xml:space="preserve"> to </w:t>
      </w:r>
      <w:r w:rsidR="001B40C4" w:rsidRPr="003F5641">
        <w:rPr>
          <w:sz w:val="24"/>
          <w:szCs w:val="24"/>
          <w:lang w:val="en-GB"/>
        </w:rPr>
        <w:t>d</w:t>
      </w:r>
      <w:r w:rsidR="00070B30" w:rsidRPr="007F087A">
        <w:rPr>
          <w:sz w:val="24"/>
          <w:szCs w:val="24"/>
          <w:lang w:val="en-GB"/>
        </w:rPr>
        <w:t xml:space="preserve">evelop </w:t>
      </w:r>
      <w:r w:rsidR="00070B30" w:rsidRPr="007F087A">
        <w:rPr>
          <w:b/>
          <w:bCs/>
          <w:sz w:val="24"/>
          <w:szCs w:val="24"/>
          <w:lang w:val="en-GB"/>
        </w:rPr>
        <w:t>two modules of teacher competencies as part of study programs - 30 ECTS each</w:t>
      </w:r>
      <w:r w:rsidR="00070B30" w:rsidRPr="007F087A">
        <w:rPr>
          <w:sz w:val="24"/>
          <w:szCs w:val="24"/>
          <w:lang w:val="en-GB"/>
        </w:rPr>
        <w:t xml:space="preserve"> (for one cycle of studies)</w:t>
      </w:r>
      <w:r w:rsidR="001B40C4">
        <w:rPr>
          <w:sz w:val="24"/>
          <w:szCs w:val="24"/>
          <w:lang w:val="en-GB"/>
        </w:rPr>
        <w:t xml:space="preserve">, </w:t>
      </w:r>
      <w:r w:rsidR="001B40C4" w:rsidRPr="001B40C4">
        <w:rPr>
          <w:sz w:val="24"/>
          <w:szCs w:val="24"/>
          <w:lang w:val="en-GB"/>
        </w:rPr>
        <w:t xml:space="preserve">based on </w:t>
      </w:r>
      <w:r w:rsidR="001B40C4" w:rsidRPr="003F5641">
        <w:rPr>
          <w:sz w:val="24"/>
          <w:szCs w:val="24"/>
          <w:lang w:val="en-GB"/>
        </w:rPr>
        <w:t>standards of competences for teachers</w:t>
      </w:r>
      <w:r w:rsidR="00070B30" w:rsidRPr="001B40C4">
        <w:rPr>
          <w:sz w:val="24"/>
          <w:szCs w:val="24"/>
          <w:lang w:val="en-GB"/>
        </w:rPr>
        <w:t>.</w:t>
      </w:r>
      <w:r w:rsidR="00070B30" w:rsidRPr="007F087A">
        <w:rPr>
          <w:sz w:val="24"/>
          <w:szCs w:val="24"/>
          <w:lang w:val="en-GB"/>
        </w:rPr>
        <w:t xml:space="preserve"> It should "cover" learning outcomes from competency standards and be structured according to the structure of </w:t>
      </w:r>
      <w:r w:rsidR="00070B30" w:rsidRPr="007F087A">
        <w:rPr>
          <w:sz w:val="24"/>
          <w:szCs w:val="24"/>
          <w:lang w:val="en-GB"/>
        </w:rPr>
        <w:lastRenderedPageBreak/>
        <w:t>study programs at the University of Montenegro. It can contain: matrix of learning outcomes, list of subjects, learning outcomes by subjects, description of each of the subjects (course, syllabus), description of performance, methods and forms of work, method of checking the achievement of learning outcomes, bibliography, etc.</w:t>
      </w:r>
    </w:p>
    <w:p w14:paraId="37772398" w14:textId="74EF9941" w:rsidR="00070B30" w:rsidRPr="003F5641" w:rsidRDefault="001B40C4" w:rsidP="003F5641">
      <w:pPr>
        <w:spacing w:before="100" w:after="100" w:line="276" w:lineRule="auto"/>
        <w:jc w:val="both"/>
        <w:rPr>
          <w:sz w:val="24"/>
          <w:szCs w:val="24"/>
          <w:lang w:val="en-GB"/>
        </w:rPr>
      </w:pPr>
      <w:r w:rsidRPr="001B40C4">
        <w:rPr>
          <w:sz w:val="24"/>
          <w:szCs w:val="24"/>
          <w:lang w:val="en-GB"/>
        </w:rPr>
        <w:t xml:space="preserve">In order to incorporate these modules to be truly into the study programs performed initial education of teachers at the University of Montenegro, it is necessary </w:t>
      </w:r>
      <w:r w:rsidRPr="003F5641">
        <w:rPr>
          <w:b/>
          <w:bCs/>
          <w:sz w:val="24"/>
          <w:szCs w:val="24"/>
          <w:lang w:val="en-GB"/>
        </w:rPr>
        <w:t>to connect the Standards of Teacher Competences with the national quality assurance system</w:t>
      </w:r>
      <w:r w:rsidRPr="001B40C4">
        <w:rPr>
          <w:sz w:val="24"/>
          <w:szCs w:val="24"/>
          <w:lang w:val="en-GB"/>
        </w:rPr>
        <w:t>. It is possible to develop an additional standard for the accreditation of study programs that provide teacher qualifications, based on the developed standards of teacher competencies. This activity would be provided in cooperation with the Agency for Quality Control and Assurance that is the competent body for the national quality system in higher education.</w:t>
      </w:r>
      <w:r>
        <w:rPr>
          <w:b/>
          <w:bCs/>
          <w:sz w:val="24"/>
          <w:szCs w:val="24"/>
          <w:lang w:val="en-GB"/>
        </w:rPr>
        <w:t xml:space="preserve"> </w:t>
      </w:r>
      <w:r w:rsidRPr="001B40C4">
        <w:rPr>
          <w:b/>
          <w:bCs/>
          <w:sz w:val="24"/>
          <w:szCs w:val="24"/>
          <w:lang w:val="en-GB"/>
        </w:rPr>
        <w:t xml:space="preserve">It is also possible to develop </w:t>
      </w:r>
      <w:r w:rsidR="00070B30" w:rsidRPr="003F5641">
        <w:rPr>
          <w:b/>
          <w:bCs/>
          <w:sz w:val="24"/>
          <w:szCs w:val="24"/>
          <w:lang w:val="en-GB"/>
        </w:rPr>
        <w:t>a model of cooperation between the faculties at the University of Montenegro that educate teachers and employers of their graduates</w:t>
      </w:r>
      <w:r w:rsidR="00070B30" w:rsidRPr="003F5641">
        <w:rPr>
          <w:sz w:val="24"/>
          <w:szCs w:val="24"/>
          <w:lang w:val="en-GB"/>
        </w:rPr>
        <w:t>: It would be logical to structure this cooperation through the Bureau for Education Services and the Centre for Vocational Education. Cooperation can be established by a long-term agreement, and the focus would be on the methodical practice of students in primary and secondary schools.</w:t>
      </w:r>
    </w:p>
    <w:p w14:paraId="5BF6ABC4" w14:textId="78EC39B4" w:rsidR="00AA0D31" w:rsidRPr="007F087A" w:rsidRDefault="00F730D7" w:rsidP="003F5641">
      <w:pPr>
        <w:widowControl/>
        <w:autoSpaceDE/>
        <w:autoSpaceDN/>
        <w:spacing w:before="100" w:after="100" w:line="276" w:lineRule="auto"/>
        <w:contextualSpacing/>
        <w:jc w:val="both"/>
        <w:rPr>
          <w:sz w:val="24"/>
          <w:szCs w:val="24"/>
          <w:lang w:val="en-GB"/>
        </w:rPr>
      </w:pPr>
      <w:r w:rsidRPr="007F087A">
        <w:rPr>
          <w:sz w:val="24"/>
          <w:szCs w:val="24"/>
          <w:lang w:val="en-GB"/>
        </w:rPr>
        <w:t>For the implementation of these activities, it is first necessary to obtain the support of key actors in higher education (Directorate of Higher Education of Montenegro, Council for Higher Education, University of Montenegro, Agency for Quality Assurance and Control), and the Project Steering Committee. The project would, with the cooperation of beneficiary institutions, identify and engage experts to support the process. Materials would be produced by groups composed of representatives of beneficiary institutions</w:t>
      </w:r>
      <w:r w:rsidR="001B40C4">
        <w:rPr>
          <w:sz w:val="24"/>
          <w:szCs w:val="24"/>
          <w:lang w:val="en-GB"/>
        </w:rPr>
        <w:t xml:space="preserve">.  </w:t>
      </w:r>
      <w:r w:rsidRPr="003F5641">
        <w:rPr>
          <w:sz w:val="24"/>
          <w:szCs w:val="24"/>
          <w:lang w:val="en-GB"/>
        </w:rPr>
        <w:t xml:space="preserve">For the development of the module of teacher competencies, a group should be formed in which members would be nominated by the </w:t>
      </w:r>
      <w:r w:rsidRPr="003F5641">
        <w:rPr>
          <w:b/>
          <w:bCs/>
          <w:sz w:val="24"/>
          <w:szCs w:val="24"/>
          <w:lang w:val="en-GB"/>
        </w:rPr>
        <w:t>faculties that educate teachers</w:t>
      </w:r>
      <w:r w:rsidRPr="003F5641">
        <w:rPr>
          <w:sz w:val="24"/>
          <w:szCs w:val="24"/>
          <w:lang w:val="en-GB"/>
        </w:rPr>
        <w:t>.</w:t>
      </w:r>
      <w:r w:rsidR="001B40C4">
        <w:rPr>
          <w:sz w:val="24"/>
          <w:szCs w:val="24"/>
          <w:lang w:val="en-GB"/>
        </w:rPr>
        <w:t xml:space="preserve"> </w:t>
      </w:r>
      <w:r w:rsidR="001B40C4" w:rsidRPr="001B40C4">
        <w:rPr>
          <w:sz w:val="24"/>
          <w:szCs w:val="24"/>
          <w:lang w:val="en-GB"/>
        </w:rPr>
        <w:t xml:space="preserve">The development of quality assurance standards would be developed by the </w:t>
      </w:r>
      <w:r w:rsidR="001B40C4" w:rsidRPr="003F5641">
        <w:rPr>
          <w:b/>
          <w:bCs/>
          <w:sz w:val="24"/>
          <w:szCs w:val="24"/>
          <w:lang w:val="en-GB"/>
        </w:rPr>
        <w:t>Agency in cooperation with the University</w:t>
      </w:r>
      <w:r w:rsidR="001B40C4" w:rsidRPr="001B40C4">
        <w:rPr>
          <w:sz w:val="24"/>
          <w:szCs w:val="24"/>
          <w:lang w:val="en-GB"/>
        </w:rPr>
        <w:t>, while</w:t>
      </w:r>
      <w:r w:rsidR="001B40C4">
        <w:rPr>
          <w:sz w:val="24"/>
          <w:szCs w:val="24"/>
          <w:lang w:val="en-GB"/>
        </w:rPr>
        <w:t xml:space="preserve"> c</w:t>
      </w:r>
      <w:r w:rsidR="001B40C4" w:rsidRPr="007F087A">
        <w:rPr>
          <w:sz w:val="24"/>
          <w:szCs w:val="24"/>
          <w:lang w:val="en-GB"/>
        </w:rPr>
        <w:t xml:space="preserve">ooperation </w:t>
      </w:r>
      <w:r w:rsidRPr="007F087A">
        <w:rPr>
          <w:sz w:val="24"/>
          <w:szCs w:val="24"/>
          <w:lang w:val="en-GB"/>
        </w:rPr>
        <w:t xml:space="preserve">between faculties that educate teachers and schools </w:t>
      </w:r>
      <w:r w:rsidRPr="007F087A">
        <w:rPr>
          <w:b/>
          <w:bCs/>
          <w:sz w:val="24"/>
          <w:szCs w:val="24"/>
          <w:lang w:val="en-GB"/>
        </w:rPr>
        <w:t>would be led by deans and principals of the Bureau for Education Services and the Centre for Vocational Education</w:t>
      </w:r>
      <w:r w:rsidR="00AA0D31" w:rsidRPr="007F087A">
        <w:rPr>
          <w:sz w:val="24"/>
          <w:szCs w:val="24"/>
          <w:lang w:val="en-GB"/>
        </w:rPr>
        <w:t>.</w:t>
      </w:r>
    </w:p>
    <w:p w14:paraId="648E4AB9" w14:textId="1886A1EA" w:rsidR="00AA0D31" w:rsidRPr="007F087A" w:rsidRDefault="003F3782" w:rsidP="001B40C4">
      <w:pPr>
        <w:widowControl/>
        <w:autoSpaceDE/>
        <w:autoSpaceDN/>
        <w:spacing w:before="100" w:after="100" w:line="276" w:lineRule="auto"/>
        <w:contextualSpacing/>
        <w:jc w:val="both"/>
        <w:rPr>
          <w:sz w:val="24"/>
          <w:szCs w:val="24"/>
          <w:lang w:val="en-GB"/>
        </w:rPr>
      </w:pPr>
      <w:r w:rsidRPr="007F087A">
        <w:rPr>
          <w:b/>
          <w:bCs/>
          <w:sz w:val="24"/>
          <w:szCs w:val="24"/>
          <w:lang w:val="en-GB"/>
        </w:rPr>
        <w:t xml:space="preserve">Time frame for activities: </w:t>
      </w:r>
      <w:r w:rsidRPr="007F087A">
        <w:rPr>
          <w:sz w:val="24"/>
          <w:szCs w:val="24"/>
          <w:lang w:val="en-GB"/>
        </w:rPr>
        <w:t>The project team expanded by a group of experienced teachers could work on the first version of the competency standard by the end of 2020. After the draft of the standard is completed, a group for the development of the module can be formed and in three months (January - March 2021) to draft the module. Thereafter, in the next three months, the documents may be finalized, consultations held and referred to the competent authorities for adoption.</w:t>
      </w:r>
    </w:p>
    <w:sectPr w:rsidR="00AA0D31" w:rsidRPr="007F087A" w:rsidSect="006B32B6">
      <w:headerReference w:type="default" r:id="rId14"/>
      <w:footerReference w:type="default" r:id="rId15"/>
      <w:footerReference w:type="first" r:id="rId16"/>
      <w:pgSz w:w="11910" w:h="16840"/>
      <w:pgMar w:top="1625"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404957" w14:textId="77777777" w:rsidR="006910F6" w:rsidRDefault="006910F6" w:rsidP="0072460A">
      <w:r>
        <w:separator/>
      </w:r>
    </w:p>
  </w:endnote>
  <w:endnote w:type="continuationSeparator" w:id="0">
    <w:p w14:paraId="299FD291" w14:textId="77777777" w:rsidR="006910F6" w:rsidRDefault="006910F6" w:rsidP="0072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B0604020202020204"/>
    <w:charset w:val="EE"/>
    <w:family w:val="auto"/>
    <w:pitch w:val="variable"/>
    <w:sig w:usb0="E0000AFF" w:usb1="5000217F" w:usb2="00000021"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Latha">
    <w:panose1 w:val="020B0604020202020204"/>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DA90C" w14:textId="77777777" w:rsidR="006B12F2" w:rsidRDefault="006B12F2" w:rsidP="000257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3B365C" w14:textId="77777777" w:rsidR="006B12F2" w:rsidRDefault="006B12F2" w:rsidP="000257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795DA" w14:textId="77777777" w:rsidR="006B12F2" w:rsidRDefault="006B12F2" w:rsidP="00025706">
    <w:pPr>
      <w:pStyle w:val="Footer"/>
      <w:ind w:left="-90"/>
      <w:rPr>
        <w:b/>
        <w:noProof/>
        <w:color w:val="595959" w:themeColor="text1" w:themeTint="A6"/>
        <w:sz w:val="16"/>
        <w:szCs w:val="16"/>
      </w:rPr>
    </w:pPr>
  </w:p>
  <w:p w14:paraId="59F31FCF" w14:textId="66A797C8" w:rsidR="006B12F2" w:rsidRPr="00EE64B0" w:rsidRDefault="00501B95" w:rsidP="00025706">
    <w:pPr>
      <w:pStyle w:val="Footer"/>
      <w:ind w:left="-90"/>
      <w:rPr>
        <w:b/>
        <w:noProof/>
        <w:color w:val="595959" w:themeColor="text1" w:themeTint="A6"/>
        <w:sz w:val="16"/>
        <w:szCs w:val="16"/>
      </w:rPr>
    </w:pPr>
    <w:bookmarkStart w:id="0" w:name="_Hlk52731268"/>
    <w:r>
      <w:rPr>
        <w:b/>
        <w:noProof/>
        <w:color w:val="595959" w:themeColor="text1" w:themeTint="A6"/>
        <w:sz w:val="16"/>
        <w:szCs w:val="16"/>
      </w:rPr>
      <w:t xml:space="preserve">Integration of Key Competences in the </w:t>
    </w:r>
    <w:r w:rsidR="00C97F4F">
      <w:rPr>
        <w:b/>
        <w:noProof/>
        <w:color w:val="595959" w:themeColor="text1" w:themeTint="A6"/>
        <w:sz w:val="16"/>
        <w:szCs w:val="16"/>
      </w:rPr>
      <w:t>E</w:t>
    </w:r>
    <w:r>
      <w:rPr>
        <w:b/>
        <w:noProof/>
        <w:color w:val="595959" w:themeColor="text1" w:themeTint="A6"/>
        <w:sz w:val="16"/>
        <w:szCs w:val="16"/>
      </w:rPr>
      <w:t>ducation system of Montenegro</w:t>
    </w:r>
    <w:bookmarkEnd w:id="0"/>
    <w:r w:rsidR="006B12F2" w:rsidRPr="00EE64B0">
      <w:rPr>
        <w:b/>
        <w:noProof/>
        <w:color w:val="595959" w:themeColor="text1" w:themeTint="A6"/>
        <w:sz w:val="16"/>
        <w:szCs w:val="16"/>
      </w:rPr>
      <w:t xml:space="preserve">, </w:t>
    </w:r>
    <w:hyperlink r:id="rId1" w:history="1">
      <w:r w:rsidR="00D305DB" w:rsidRPr="00ED023D">
        <w:rPr>
          <w:rStyle w:val="Hyperlink"/>
          <w:b/>
          <w:noProof/>
          <w:sz w:val="16"/>
          <w:szCs w:val="16"/>
        </w:rPr>
        <w:t>www.ikces.me</w:t>
      </w:r>
    </w:hyperlink>
    <w:r w:rsidR="00D305DB">
      <w:rPr>
        <w:b/>
        <w:noProof/>
        <w:color w:val="595959" w:themeColor="text1" w:themeTint="A6"/>
        <w:sz w:val="16"/>
        <w:szCs w:val="16"/>
      </w:rPr>
      <w:t xml:space="preserve"> </w:t>
    </w:r>
  </w:p>
  <w:p w14:paraId="5F182A6E" w14:textId="142000D2" w:rsidR="006B12F2" w:rsidRDefault="006B12F2" w:rsidP="00025706">
    <w:pPr>
      <w:pStyle w:val="Footer"/>
      <w:ind w:left="-90"/>
      <w:rPr>
        <w:b/>
        <w:noProof/>
        <w:color w:val="595959" w:themeColor="text1" w:themeTint="A6"/>
        <w:sz w:val="16"/>
        <w:szCs w:val="16"/>
      </w:rPr>
    </w:pPr>
    <w:r w:rsidRPr="00EE64B0">
      <w:rPr>
        <w:b/>
        <w:noProof/>
        <w:color w:val="595959" w:themeColor="text1" w:themeTint="A6"/>
        <w:sz w:val="16"/>
        <w:szCs w:val="16"/>
      </w:rPr>
      <w:t xml:space="preserve">Vaka Djurovica bb/I, 81000 Podgorica, Montenegro, P: +382 20 408 937, E-m: </w:t>
    </w:r>
    <w:hyperlink r:id="rId2" w:history="1">
      <w:r w:rsidR="00D305DB" w:rsidRPr="00ED023D">
        <w:rPr>
          <w:rStyle w:val="Hyperlink"/>
          <w:b/>
          <w:noProof/>
          <w:sz w:val="16"/>
          <w:szCs w:val="16"/>
        </w:rPr>
        <w:t>m.nikcevic@eprd.pl</w:t>
      </w:r>
    </w:hyperlink>
    <w:r w:rsidRPr="00EE64B0">
      <w:rPr>
        <w:b/>
        <w:noProof/>
        <w:color w:val="595959" w:themeColor="text1" w:themeTint="A6"/>
        <w:sz w:val="16"/>
        <w:szCs w:val="16"/>
      </w:rPr>
      <w:t xml:space="preserve"> </w:t>
    </w:r>
  </w:p>
  <w:p w14:paraId="3D209CD2" w14:textId="56D9DBE9" w:rsidR="006B12F2" w:rsidRDefault="006B12F2" w:rsidP="00C12627">
    <w:pPr>
      <w:pStyle w:val="Footer"/>
      <w:tabs>
        <w:tab w:val="left" w:pos="1110"/>
      </w:tabs>
      <w:ind w:left="-90"/>
    </w:pPr>
    <w:r>
      <w:rPr>
        <w:noProof/>
      </w:rPr>
      <w:drawing>
        <wp:anchor distT="0" distB="0" distL="0" distR="0" simplePos="0" relativeHeight="251667456" behindDoc="1" locked="0" layoutInCell="1" allowOverlap="1" wp14:anchorId="1DF8AF2E" wp14:editId="4042E5F2">
          <wp:simplePos x="0" y="0"/>
          <wp:positionH relativeFrom="page">
            <wp:posOffset>547370</wp:posOffset>
          </wp:positionH>
          <wp:positionV relativeFrom="page">
            <wp:posOffset>10029825</wp:posOffset>
          </wp:positionV>
          <wp:extent cx="551815" cy="65405"/>
          <wp:effectExtent l="0" t="0" r="635" b="0"/>
          <wp:wrapNone/>
          <wp:docPr id="22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551815" cy="65405"/>
                  </a:xfrm>
                  <a:prstGeom prst="rect">
                    <a:avLst/>
                  </a:prstGeom>
                </pic:spPr>
              </pic:pic>
            </a:graphicData>
          </a:graphic>
        </wp:anchor>
      </w:drawing>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CC82" w14:textId="77777777" w:rsidR="006B12F2" w:rsidRPr="00A0224C" w:rsidRDefault="006B12F2"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15585831" w14:textId="77777777" w:rsidR="006B12F2" w:rsidRDefault="006B12F2"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205F1" w14:textId="77777777" w:rsidR="006B12F2" w:rsidRPr="000874A0" w:rsidRDefault="006B12F2" w:rsidP="00025706">
    <w:pPr>
      <w:pStyle w:val="Footer"/>
      <w:framePr w:wrap="around" w:vAnchor="text" w:hAnchor="margin" w:xAlign="right" w:y="1"/>
      <w:rPr>
        <w:rStyle w:val="PageNumber"/>
        <w:sz w:val="20"/>
        <w:szCs w:val="20"/>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77AC2B2" w14:textId="74DBD8DE" w:rsidR="006B12F2" w:rsidRDefault="006B12F2" w:rsidP="00025706">
    <w:pPr>
      <w:pStyle w:val="Footer"/>
      <w:ind w:right="360"/>
    </w:pPr>
    <w:r w:rsidRPr="00AC7F33">
      <w:rPr>
        <w:b/>
        <w:noProof/>
        <w:color w:val="800000"/>
        <w:sz w:val="16"/>
        <w:szCs w:val="16"/>
      </w:rPr>
      <w:t>IKCES</w:t>
    </w:r>
    <w:r>
      <w:rPr>
        <w:b/>
        <w:noProof/>
        <w:color w:val="595959" w:themeColor="text1" w:themeTint="A6"/>
        <w:sz w:val="16"/>
        <w:szCs w:val="16"/>
      </w:rPr>
      <w:t>.ME – Integra</w:t>
    </w:r>
    <w:r w:rsidR="003F3782">
      <w:rPr>
        <w:b/>
        <w:noProof/>
        <w:color w:val="595959" w:themeColor="text1" w:themeTint="A6"/>
        <w:sz w:val="16"/>
        <w:szCs w:val="16"/>
      </w:rPr>
      <w:t xml:space="preserve">tion of Key Competences in the Education System of Montenegro </w:t>
    </w:r>
    <w:r>
      <w:rPr>
        <w:b/>
        <w:noProof/>
        <w:color w:val="595959" w:themeColor="text1" w:themeTint="A6"/>
        <w:sz w:val="16"/>
        <w:szCs w:val="16"/>
      </w:rPr>
      <w:t xml:space="preserve"> </w:t>
    </w:r>
  </w:p>
  <w:p w14:paraId="4B8BFFD4" w14:textId="77777777" w:rsidR="006B12F2" w:rsidRDefault="006B12F2">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57626" w14:textId="77777777" w:rsidR="006B12F2" w:rsidRPr="00A0224C" w:rsidRDefault="006B12F2"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8F2344C" w14:textId="77777777" w:rsidR="006B12F2" w:rsidRDefault="006B12F2"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CB21C" w14:textId="77777777" w:rsidR="006910F6" w:rsidRDefault="006910F6" w:rsidP="0072460A">
      <w:r>
        <w:separator/>
      </w:r>
    </w:p>
  </w:footnote>
  <w:footnote w:type="continuationSeparator" w:id="0">
    <w:p w14:paraId="6D128810" w14:textId="77777777" w:rsidR="006910F6" w:rsidRDefault="006910F6" w:rsidP="0072460A">
      <w:r>
        <w:continuationSeparator/>
      </w:r>
    </w:p>
  </w:footnote>
  <w:footnote w:id="1">
    <w:p w14:paraId="25212CAC" w14:textId="38B2FAF7" w:rsidR="00C07939" w:rsidRPr="00611DE3" w:rsidRDefault="00C07939" w:rsidP="00C07939">
      <w:pPr>
        <w:pStyle w:val="FootnoteText"/>
        <w:jc w:val="both"/>
        <w:rPr>
          <w:lang w:val="en-GB"/>
        </w:rPr>
      </w:pPr>
      <w:r w:rsidRPr="00611DE3">
        <w:rPr>
          <w:rStyle w:val="FootnoteReference"/>
          <w:lang w:val="en-GB"/>
        </w:rPr>
        <w:footnoteRef/>
      </w:r>
      <w:r w:rsidRPr="00611DE3">
        <w:rPr>
          <w:lang w:val="en-GB"/>
        </w:rPr>
        <w:t xml:space="preserve"> </w:t>
      </w:r>
      <w:r w:rsidR="004F4046" w:rsidRPr="00611DE3">
        <w:rPr>
          <w:lang w:val="en-GB"/>
        </w:rPr>
        <w:t>The Teacher Education Strategy 2017-2024 with the Action Plan for 2017-2018 was adopted at the session of the Government of Montenegro held on December 29, 2016.</w:t>
      </w:r>
    </w:p>
  </w:footnote>
  <w:footnote w:id="2">
    <w:p w14:paraId="7DFBBA1C" w14:textId="019D25DC" w:rsidR="00AA0D31" w:rsidRPr="00611DE3" w:rsidRDefault="00AA0D31" w:rsidP="00AA0D31">
      <w:pPr>
        <w:pStyle w:val="FootnoteText"/>
        <w:jc w:val="both"/>
        <w:rPr>
          <w:lang w:val="en-GB"/>
        </w:rPr>
      </w:pPr>
      <w:r w:rsidRPr="00611DE3">
        <w:rPr>
          <w:rStyle w:val="FootnoteReference"/>
          <w:lang w:val="en-GB"/>
        </w:rPr>
        <w:footnoteRef/>
      </w:r>
      <w:r w:rsidRPr="00611DE3">
        <w:rPr>
          <w:lang w:val="en-GB"/>
        </w:rPr>
        <w:t xml:space="preserve"> </w:t>
      </w:r>
      <w:r w:rsidR="00611DE3" w:rsidRPr="00611DE3">
        <w:rPr>
          <w:lang w:val="en-GB"/>
        </w:rPr>
        <w:t>The modules could also be used, if envisaged, for the education of teachers of vocational subjects in secondary vocational education as a partial or even full qualification.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36BF3" w14:textId="77777777" w:rsidR="006B12F2" w:rsidRDefault="006B12F2" w:rsidP="000257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E113AF" w14:textId="77777777" w:rsidR="006B12F2" w:rsidRDefault="006B12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F0FF3" w14:textId="5DCFA0F1" w:rsidR="006B12F2" w:rsidRDefault="006B12F2" w:rsidP="00025706">
    <w:pPr>
      <w:pStyle w:val="Header"/>
      <w:rPr>
        <w:noProof/>
      </w:rPr>
    </w:pPr>
    <w:r>
      <w:rPr>
        <w:noProof/>
      </w:rPr>
      <w:drawing>
        <wp:anchor distT="0" distB="0" distL="0" distR="0" simplePos="0" relativeHeight="251665408" behindDoc="1" locked="0" layoutInCell="1" allowOverlap="1" wp14:anchorId="3F69749C" wp14:editId="302CCE3F">
          <wp:simplePos x="0" y="0"/>
          <wp:positionH relativeFrom="page">
            <wp:posOffset>576596</wp:posOffset>
          </wp:positionH>
          <wp:positionV relativeFrom="page">
            <wp:posOffset>605717</wp:posOffset>
          </wp:positionV>
          <wp:extent cx="1437024" cy="651162"/>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39484" cy="652276"/>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3360" behindDoc="1" locked="0" layoutInCell="1" allowOverlap="1" wp14:anchorId="3B628199" wp14:editId="772C835A">
          <wp:simplePos x="0" y="0"/>
          <wp:positionH relativeFrom="page">
            <wp:posOffset>5709920</wp:posOffset>
          </wp:positionH>
          <wp:positionV relativeFrom="page">
            <wp:posOffset>554355</wp:posOffset>
          </wp:positionV>
          <wp:extent cx="1218565" cy="703580"/>
          <wp:effectExtent l="0" t="0" r="635" b="1270"/>
          <wp:wrapNone/>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218565" cy="703580"/>
                  </a:xfrm>
                  <a:prstGeom prst="rect">
                    <a:avLst/>
                  </a:prstGeom>
                </pic:spPr>
              </pic:pic>
            </a:graphicData>
          </a:graphic>
        </wp:anchor>
      </w:drawing>
    </w:r>
  </w:p>
  <w:p w14:paraId="4C53D16A" w14:textId="56DC55AD" w:rsidR="006B12F2" w:rsidRPr="00664EA6" w:rsidRDefault="006B12F2" w:rsidP="00025706">
    <w:pPr>
      <w:pStyle w:val="Header"/>
    </w:pPr>
    <w:r>
      <w:rPr>
        <w:noProof/>
      </w:rPr>
      <w:drawing>
        <wp:anchor distT="0" distB="0" distL="0" distR="0" simplePos="0" relativeHeight="251661312" behindDoc="1" locked="0" layoutInCell="1" allowOverlap="1" wp14:anchorId="437E4FC3" wp14:editId="028B59BB">
          <wp:simplePos x="0" y="0"/>
          <wp:positionH relativeFrom="page">
            <wp:posOffset>3252470</wp:posOffset>
          </wp:positionH>
          <wp:positionV relativeFrom="page">
            <wp:posOffset>815340</wp:posOffset>
          </wp:positionV>
          <wp:extent cx="1197863" cy="320039"/>
          <wp:effectExtent l="0" t="0" r="2540" b="4445"/>
          <wp:wrapNone/>
          <wp:docPr id="230"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3" cstate="print"/>
                  <a:stretch>
                    <a:fillRect/>
                  </a:stretch>
                </pic:blipFill>
                <pic:spPr>
                  <a:xfrm>
                    <a:off x="0" y="0"/>
                    <a:ext cx="1197863" cy="320039"/>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C8C86" w14:textId="77777777" w:rsidR="006B12F2" w:rsidRPr="00876CE6" w:rsidRDefault="006B12F2" w:rsidP="00025706">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3B17"/>
    <w:multiLevelType w:val="hybridMultilevel"/>
    <w:tmpl w:val="5374D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F4EF1"/>
    <w:multiLevelType w:val="hybridMultilevel"/>
    <w:tmpl w:val="8CCAC02C"/>
    <w:lvl w:ilvl="0" w:tplc="08090001">
      <w:start w:val="1"/>
      <w:numFmt w:val="bullet"/>
      <w:lvlText w:val=""/>
      <w:lvlJc w:val="left"/>
      <w:pPr>
        <w:ind w:left="720" w:hanging="360"/>
      </w:pPr>
      <w:rPr>
        <w:rFonts w:ascii="Symbol" w:hAnsi="Symbol" w:hint="default"/>
      </w:rPr>
    </w:lvl>
    <w:lvl w:ilvl="1" w:tplc="E872DFAE">
      <w:numFmt w:val="bullet"/>
      <w:lvlText w:val="•"/>
      <w:lvlJc w:val="left"/>
      <w:pPr>
        <w:ind w:left="1440" w:hanging="360"/>
      </w:pPr>
      <w:rPr>
        <w:rFonts w:ascii="Roboto" w:eastAsia="Roboto" w:hAnsi="Roboto" w:cs="Roboto"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C7C48"/>
    <w:multiLevelType w:val="hybridMultilevel"/>
    <w:tmpl w:val="62D4F4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EC3334"/>
    <w:multiLevelType w:val="hybridMultilevel"/>
    <w:tmpl w:val="399ED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9467C6"/>
    <w:multiLevelType w:val="hybridMultilevel"/>
    <w:tmpl w:val="DBE0C3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26359F"/>
    <w:multiLevelType w:val="hybridMultilevel"/>
    <w:tmpl w:val="9BA6B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A6135"/>
    <w:multiLevelType w:val="hybridMultilevel"/>
    <w:tmpl w:val="FBB4F10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2B50DA"/>
    <w:multiLevelType w:val="hybridMultilevel"/>
    <w:tmpl w:val="0304F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4228A0"/>
    <w:multiLevelType w:val="hybridMultilevel"/>
    <w:tmpl w:val="5956D4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FA735C"/>
    <w:multiLevelType w:val="hybridMultilevel"/>
    <w:tmpl w:val="9F308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F33683"/>
    <w:multiLevelType w:val="hybridMultilevel"/>
    <w:tmpl w:val="E91A480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EA342D"/>
    <w:multiLevelType w:val="hybridMultilevel"/>
    <w:tmpl w:val="D486CE4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3A1CDF"/>
    <w:multiLevelType w:val="hybridMultilevel"/>
    <w:tmpl w:val="76004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9F1623"/>
    <w:multiLevelType w:val="hybridMultilevel"/>
    <w:tmpl w:val="C922B5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0B3ACE"/>
    <w:multiLevelType w:val="hybridMultilevel"/>
    <w:tmpl w:val="6F163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22032D"/>
    <w:multiLevelType w:val="hybridMultilevel"/>
    <w:tmpl w:val="F66E8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64F68"/>
    <w:multiLevelType w:val="hybridMultilevel"/>
    <w:tmpl w:val="1578047C"/>
    <w:lvl w:ilvl="0" w:tplc="04090001">
      <w:start w:val="1"/>
      <w:numFmt w:val="bullet"/>
      <w:lvlText w:val=""/>
      <w:lvlJc w:val="left"/>
      <w:pPr>
        <w:ind w:left="720" w:hanging="360"/>
      </w:pPr>
      <w:rPr>
        <w:rFonts w:ascii="Symbol" w:hAnsi="Symbol" w:hint="default"/>
      </w:rPr>
    </w:lvl>
    <w:lvl w:ilvl="1" w:tplc="805A5960">
      <w:numFmt w:val="bullet"/>
      <w:lvlText w:val="•"/>
      <w:lvlJc w:val="left"/>
      <w:pPr>
        <w:ind w:left="1440" w:hanging="360"/>
      </w:pPr>
      <w:rPr>
        <w:rFonts w:ascii="Roboto" w:eastAsia="Roboto" w:hAnsi="Roboto" w:cs="Roboto"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3D035B"/>
    <w:multiLevelType w:val="hybridMultilevel"/>
    <w:tmpl w:val="DD8A8A2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756F1B"/>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69367F3"/>
    <w:multiLevelType w:val="hybridMultilevel"/>
    <w:tmpl w:val="22EABAB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0" w15:restartNumberingAfterBreak="0">
    <w:nsid w:val="381D7538"/>
    <w:multiLevelType w:val="hybridMultilevel"/>
    <w:tmpl w:val="4E44E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73186B"/>
    <w:multiLevelType w:val="hybridMultilevel"/>
    <w:tmpl w:val="EC1A5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D9516E"/>
    <w:multiLevelType w:val="hybridMultilevel"/>
    <w:tmpl w:val="3E5E229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034E9C"/>
    <w:multiLevelType w:val="hybridMultilevel"/>
    <w:tmpl w:val="1BF03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8A04D9"/>
    <w:multiLevelType w:val="hybridMultilevel"/>
    <w:tmpl w:val="663C735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5" w15:restartNumberingAfterBreak="0">
    <w:nsid w:val="4500596B"/>
    <w:multiLevelType w:val="hybridMultilevel"/>
    <w:tmpl w:val="4D0AF9A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15:restartNumberingAfterBreak="0">
    <w:nsid w:val="45493303"/>
    <w:multiLevelType w:val="hybridMultilevel"/>
    <w:tmpl w:val="8C6CA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A81FA3"/>
    <w:multiLevelType w:val="hybridMultilevel"/>
    <w:tmpl w:val="D4CAF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F8D09E0"/>
    <w:multiLevelType w:val="hybridMultilevel"/>
    <w:tmpl w:val="23AA96F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F6124F"/>
    <w:multiLevelType w:val="hybridMultilevel"/>
    <w:tmpl w:val="2E3C0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096F4D"/>
    <w:multiLevelType w:val="hybridMultilevel"/>
    <w:tmpl w:val="782CACB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5D2102"/>
    <w:multiLevelType w:val="hybridMultilevel"/>
    <w:tmpl w:val="EEF2713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EB0CF1"/>
    <w:multiLevelType w:val="hybridMultilevel"/>
    <w:tmpl w:val="7CAC5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3077EE"/>
    <w:multiLevelType w:val="hybridMultilevel"/>
    <w:tmpl w:val="8C4E0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CC23867"/>
    <w:multiLevelType w:val="hybridMultilevel"/>
    <w:tmpl w:val="309421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D1A68F3"/>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C339E6"/>
    <w:multiLevelType w:val="hybridMultilevel"/>
    <w:tmpl w:val="F018471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DCE6397"/>
    <w:multiLevelType w:val="hybridMultilevel"/>
    <w:tmpl w:val="D87A7CB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F405A6A"/>
    <w:multiLevelType w:val="hybridMultilevel"/>
    <w:tmpl w:val="A3A4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B96C40"/>
    <w:multiLevelType w:val="hybridMultilevel"/>
    <w:tmpl w:val="4426F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2842C6F"/>
    <w:multiLevelType w:val="hybridMultilevel"/>
    <w:tmpl w:val="D77C67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3685E90"/>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658D1C8A"/>
    <w:multiLevelType w:val="hybridMultilevel"/>
    <w:tmpl w:val="1C74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D42FF7"/>
    <w:multiLevelType w:val="hybridMultilevel"/>
    <w:tmpl w:val="AA90D0E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63665E6"/>
    <w:multiLevelType w:val="hybridMultilevel"/>
    <w:tmpl w:val="D250ED5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6D3026E"/>
    <w:multiLevelType w:val="hybridMultilevel"/>
    <w:tmpl w:val="A712D7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7336EEA"/>
    <w:multiLevelType w:val="hybridMultilevel"/>
    <w:tmpl w:val="C3D40FB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7916009"/>
    <w:multiLevelType w:val="hybridMultilevel"/>
    <w:tmpl w:val="2CA2BF3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BD80CE7"/>
    <w:multiLevelType w:val="hybridMultilevel"/>
    <w:tmpl w:val="3B6E3AF0"/>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49" w15:restartNumberingAfterBreak="0">
    <w:nsid w:val="6CEF5442"/>
    <w:multiLevelType w:val="hybridMultilevel"/>
    <w:tmpl w:val="739A721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DA53342"/>
    <w:multiLevelType w:val="hybridMultilevel"/>
    <w:tmpl w:val="6BDC322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E0B6732"/>
    <w:multiLevelType w:val="hybridMultilevel"/>
    <w:tmpl w:val="4CF0EC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4A64B0F"/>
    <w:multiLevelType w:val="hybridMultilevel"/>
    <w:tmpl w:val="78802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6708F2"/>
    <w:multiLevelType w:val="hybridMultilevel"/>
    <w:tmpl w:val="D79620F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B3E538E"/>
    <w:multiLevelType w:val="hybridMultilevel"/>
    <w:tmpl w:val="78B656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E8C200F"/>
    <w:multiLevelType w:val="hybridMultilevel"/>
    <w:tmpl w:val="C9CC336C"/>
    <w:lvl w:ilvl="0" w:tplc="04090001">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57" w15:restartNumberingAfterBreak="0">
    <w:nsid w:val="7F617F66"/>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54"/>
  </w:num>
  <w:num w:numId="2">
    <w:abstractNumId w:val="35"/>
  </w:num>
  <w:num w:numId="3">
    <w:abstractNumId w:val="48"/>
  </w:num>
  <w:num w:numId="4">
    <w:abstractNumId w:val="24"/>
  </w:num>
  <w:num w:numId="5">
    <w:abstractNumId w:val="19"/>
  </w:num>
  <w:num w:numId="6">
    <w:abstractNumId w:val="15"/>
  </w:num>
  <w:num w:numId="7">
    <w:abstractNumId w:val="42"/>
  </w:num>
  <w:num w:numId="8">
    <w:abstractNumId w:val="57"/>
  </w:num>
  <w:num w:numId="9">
    <w:abstractNumId w:val="38"/>
  </w:num>
  <w:num w:numId="10">
    <w:abstractNumId w:val="56"/>
  </w:num>
  <w:num w:numId="11">
    <w:abstractNumId w:val="18"/>
  </w:num>
  <w:num w:numId="12">
    <w:abstractNumId w:val="41"/>
  </w:num>
  <w:num w:numId="13">
    <w:abstractNumId w:val="39"/>
  </w:num>
  <w:num w:numId="14">
    <w:abstractNumId w:val="12"/>
  </w:num>
  <w:num w:numId="15">
    <w:abstractNumId w:val="9"/>
  </w:num>
  <w:num w:numId="16">
    <w:abstractNumId w:val="33"/>
  </w:num>
  <w:num w:numId="17">
    <w:abstractNumId w:val="14"/>
  </w:num>
  <w:num w:numId="18">
    <w:abstractNumId w:val="0"/>
  </w:num>
  <w:num w:numId="19">
    <w:abstractNumId w:val="26"/>
  </w:num>
  <w:num w:numId="20">
    <w:abstractNumId w:val="27"/>
  </w:num>
  <w:num w:numId="21">
    <w:abstractNumId w:val="3"/>
  </w:num>
  <w:num w:numId="22">
    <w:abstractNumId w:val="7"/>
  </w:num>
  <w:num w:numId="23">
    <w:abstractNumId w:val="1"/>
  </w:num>
  <w:num w:numId="24">
    <w:abstractNumId w:val="50"/>
  </w:num>
  <w:num w:numId="25">
    <w:abstractNumId w:val="40"/>
  </w:num>
  <w:num w:numId="26">
    <w:abstractNumId w:val="10"/>
  </w:num>
  <w:num w:numId="27">
    <w:abstractNumId w:val="17"/>
  </w:num>
  <w:num w:numId="28">
    <w:abstractNumId w:val="43"/>
  </w:num>
  <w:num w:numId="29">
    <w:abstractNumId w:val="30"/>
  </w:num>
  <w:num w:numId="30">
    <w:abstractNumId w:val="49"/>
  </w:num>
  <w:num w:numId="31">
    <w:abstractNumId w:val="55"/>
  </w:num>
  <w:num w:numId="32">
    <w:abstractNumId w:val="8"/>
  </w:num>
  <w:num w:numId="33">
    <w:abstractNumId w:val="44"/>
  </w:num>
  <w:num w:numId="34">
    <w:abstractNumId w:val="51"/>
  </w:num>
  <w:num w:numId="35">
    <w:abstractNumId w:val="28"/>
  </w:num>
  <w:num w:numId="36">
    <w:abstractNumId w:val="46"/>
  </w:num>
  <w:num w:numId="37">
    <w:abstractNumId w:val="47"/>
  </w:num>
  <w:num w:numId="38">
    <w:abstractNumId w:val="37"/>
  </w:num>
  <w:num w:numId="39">
    <w:abstractNumId w:val="31"/>
  </w:num>
  <w:num w:numId="40">
    <w:abstractNumId w:val="13"/>
  </w:num>
  <w:num w:numId="41">
    <w:abstractNumId w:val="22"/>
  </w:num>
  <w:num w:numId="42">
    <w:abstractNumId w:val="6"/>
  </w:num>
  <w:num w:numId="43">
    <w:abstractNumId w:val="4"/>
  </w:num>
  <w:num w:numId="44">
    <w:abstractNumId w:val="53"/>
  </w:num>
  <w:num w:numId="45">
    <w:abstractNumId w:val="11"/>
  </w:num>
  <w:num w:numId="46">
    <w:abstractNumId w:val="34"/>
  </w:num>
  <w:num w:numId="47">
    <w:abstractNumId w:val="36"/>
  </w:num>
  <w:num w:numId="48">
    <w:abstractNumId w:val="45"/>
  </w:num>
  <w:num w:numId="49">
    <w:abstractNumId w:val="2"/>
  </w:num>
  <w:num w:numId="50">
    <w:abstractNumId w:val="29"/>
  </w:num>
  <w:num w:numId="51">
    <w:abstractNumId w:val="16"/>
  </w:num>
  <w:num w:numId="52">
    <w:abstractNumId w:val="52"/>
  </w:num>
  <w:num w:numId="53">
    <w:abstractNumId w:val="23"/>
  </w:num>
  <w:num w:numId="54">
    <w:abstractNumId w:val="32"/>
  </w:num>
  <w:num w:numId="55">
    <w:abstractNumId w:val="20"/>
  </w:num>
  <w:num w:numId="56">
    <w:abstractNumId w:val="5"/>
  </w:num>
  <w:num w:numId="57">
    <w:abstractNumId w:val="25"/>
  </w:num>
  <w:num w:numId="58">
    <w:abstractNumId w:val="2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2C5"/>
    <w:rsid w:val="00012CF6"/>
    <w:rsid w:val="00023AE9"/>
    <w:rsid w:val="00025706"/>
    <w:rsid w:val="00035440"/>
    <w:rsid w:val="00037665"/>
    <w:rsid w:val="00042AAF"/>
    <w:rsid w:val="00043B32"/>
    <w:rsid w:val="000600CE"/>
    <w:rsid w:val="00060E9D"/>
    <w:rsid w:val="00066A24"/>
    <w:rsid w:val="00066C6F"/>
    <w:rsid w:val="00070B30"/>
    <w:rsid w:val="00072979"/>
    <w:rsid w:val="00076876"/>
    <w:rsid w:val="0008028C"/>
    <w:rsid w:val="00081CD1"/>
    <w:rsid w:val="000D28A1"/>
    <w:rsid w:val="000D58A7"/>
    <w:rsid w:val="000E6B4B"/>
    <w:rsid w:val="000F0CA1"/>
    <w:rsid w:val="00112F31"/>
    <w:rsid w:val="00115CFC"/>
    <w:rsid w:val="00120821"/>
    <w:rsid w:val="00122D65"/>
    <w:rsid w:val="001522A5"/>
    <w:rsid w:val="00153D4C"/>
    <w:rsid w:val="00164A11"/>
    <w:rsid w:val="00176607"/>
    <w:rsid w:val="00186009"/>
    <w:rsid w:val="00194DEB"/>
    <w:rsid w:val="00194F97"/>
    <w:rsid w:val="001953AB"/>
    <w:rsid w:val="00195556"/>
    <w:rsid w:val="001B40C4"/>
    <w:rsid w:val="001B4E06"/>
    <w:rsid w:val="001C529A"/>
    <w:rsid w:val="001C63CA"/>
    <w:rsid w:val="001D6C83"/>
    <w:rsid w:val="001E45B1"/>
    <w:rsid w:val="001F7198"/>
    <w:rsid w:val="00204C99"/>
    <w:rsid w:val="00217E9D"/>
    <w:rsid w:val="00224170"/>
    <w:rsid w:val="00241556"/>
    <w:rsid w:val="00242D19"/>
    <w:rsid w:val="00243CD8"/>
    <w:rsid w:val="00254BF2"/>
    <w:rsid w:val="002572F2"/>
    <w:rsid w:val="00257CF4"/>
    <w:rsid w:val="0026613B"/>
    <w:rsid w:val="00273E1B"/>
    <w:rsid w:val="00284475"/>
    <w:rsid w:val="00291614"/>
    <w:rsid w:val="0029228B"/>
    <w:rsid w:val="002A0713"/>
    <w:rsid w:val="002B2969"/>
    <w:rsid w:val="002C6859"/>
    <w:rsid w:val="002C7D6A"/>
    <w:rsid w:val="002D14D6"/>
    <w:rsid w:val="002D1D6E"/>
    <w:rsid w:val="002F4C45"/>
    <w:rsid w:val="002F6366"/>
    <w:rsid w:val="003021AD"/>
    <w:rsid w:val="00305502"/>
    <w:rsid w:val="00317125"/>
    <w:rsid w:val="003203B8"/>
    <w:rsid w:val="0032150C"/>
    <w:rsid w:val="003302C1"/>
    <w:rsid w:val="00351B98"/>
    <w:rsid w:val="0035443E"/>
    <w:rsid w:val="00354897"/>
    <w:rsid w:val="003557B6"/>
    <w:rsid w:val="00355851"/>
    <w:rsid w:val="003601F4"/>
    <w:rsid w:val="0037057D"/>
    <w:rsid w:val="003707AC"/>
    <w:rsid w:val="0037627F"/>
    <w:rsid w:val="003A440D"/>
    <w:rsid w:val="003A53A2"/>
    <w:rsid w:val="003A63FF"/>
    <w:rsid w:val="003C0D26"/>
    <w:rsid w:val="003C2E55"/>
    <w:rsid w:val="003E3201"/>
    <w:rsid w:val="003E4185"/>
    <w:rsid w:val="003F03A5"/>
    <w:rsid w:val="003F3782"/>
    <w:rsid w:val="003F5641"/>
    <w:rsid w:val="004102E4"/>
    <w:rsid w:val="00417559"/>
    <w:rsid w:val="004463C2"/>
    <w:rsid w:val="00454EB0"/>
    <w:rsid w:val="00460F75"/>
    <w:rsid w:val="0047778D"/>
    <w:rsid w:val="004830C6"/>
    <w:rsid w:val="0048741C"/>
    <w:rsid w:val="00492351"/>
    <w:rsid w:val="00492596"/>
    <w:rsid w:val="004A4426"/>
    <w:rsid w:val="004C31F5"/>
    <w:rsid w:val="004E6089"/>
    <w:rsid w:val="004F1EE0"/>
    <w:rsid w:val="004F4046"/>
    <w:rsid w:val="00501B95"/>
    <w:rsid w:val="00505819"/>
    <w:rsid w:val="005064CD"/>
    <w:rsid w:val="00511300"/>
    <w:rsid w:val="005342DA"/>
    <w:rsid w:val="0053729F"/>
    <w:rsid w:val="00540EC2"/>
    <w:rsid w:val="00561C00"/>
    <w:rsid w:val="00564CD9"/>
    <w:rsid w:val="005711AB"/>
    <w:rsid w:val="005811D8"/>
    <w:rsid w:val="005A3C86"/>
    <w:rsid w:val="005B11E7"/>
    <w:rsid w:val="005D5072"/>
    <w:rsid w:val="005E59FE"/>
    <w:rsid w:val="00611DE3"/>
    <w:rsid w:val="00620C8F"/>
    <w:rsid w:val="00621A6F"/>
    <w:rsid w:val="00623C59"/>
    <w:rsid w:val="00661830"/>
    <w:rsid w:val="00674F86"/>
    <w:rsid w:val="00676828"/>
    <w:rsid w:val="00680A46"/>
    <w:rsid w:val="006910F6"/>
    <w:rsid w:val="006A1AD8"/>
    <w:rsid w:val="006A2F44"/>
    <w:rsid w:val="006A2FC5"/>
    <w:rsid w:val="006B12F2"/>
    <w:rsid w:val="006B32B6"/>
    <w:rsid w:val="006B7839"/>
    <w:rsid w:val="006C3BB3"/>
    <w:rsid w:val="006C3F51"/>
    <w:rsid w:val="006D68A9"/>
    <w:rsid w:val="006E5512"/>
    <w:rsid w:val="006E63B0"/>
    <w:rsid w:val="006F5B2F"/>
    <w:rsid w:val="006F706D"/>
    <w:rsid w:val="00702209"/>
    <w:rsid w:val="00707D50"/>
    <w:rsid w:val="0071497F"/>
    <w:rsid w:val="00720060"/>
    <w:rsid w:val="0072460A"/>
    <w:rsid w:val="0073167A"/>
    <w:rsid w:val="00752D63"/>
    <w:rsid w:val="0075706D"/>
    <w:rsid w:val="007604EB"/>
    <w:rsid w:val="00781B87"/>
    <w:rsid w:val="00784550"/>
    <w:rsid w:val="0079341E"/>
    <w:rsid w:val="007A0BBB"/>
    <w:rsid w:val="007A49C7"/>
    <w:rsid w:val="007B0805"/>
    <w:rsid w:val="007B50B5"/>
    <w:rsid w:val="007B6D80"/>
    <w:rsid w:val="007C5868"/>
    <w:rsid w:val="007D77C3"/>
    <w:rsid w:val="007E2850"/>
    <w:rsid w:val="007E78A8"/>
    <w:rsid w:val="007F087A"/>
    <w:rsid w:val="007F6AFE"/>
    <w:rsid w:val="00803983"/>
    <w:rsid w:val="00803A93"/>
    <w:rsid w:val="00804FC0"/>
    <w:rsid w:val="0081630B"/>
    <w:rsid w:val="00816F7E"/>
    <w:rsid w:val="008254AA"/>
    <w:rsid w:val="00832BED"/>
    <w:rsid w:val="0086664C"/>
    <w:rsid w:val="00873623"/>
    <w:rsid w:val="00884A2C"/>
    <w:rsid w:val="0089050D"/>
    <w:rsid w:val="008B05BA"/>
    <w:rsid w:val="008B34B6"/>
    <w:rsid w:val="008C1854"/>
    <w:rsid w:val="008C7948"/>
    <w:rsid w:val="0090678A"/>
    <w:rsid w:val="0090790A"/>
    <w:rsid w:val="00927F8B"/>
    <w:rsid w:val="00932F64"/>
    <w:rsid w:val="0095659F"/>
    <w:rsid w:val="00965B3E"/>
    <w:rsid w:val="00980CA0"/>
    <w:rsid w:val="00982647"/>
    <w:rsid w:val="009868F0"/>
    <w:rsid w:val="00993B80"/>
    <w:rsid w:val="009A0117"/>
    <w:rsid w:val="009A227B"/>
    <w:rsid w:val="009C0C48"/>
    <w:rsid w:val="009C3459"/>
    <w:rsid w:val="009D01AE"/>
    <w:rsid w:val="009D12CB"/>
    <w:rsid w:val="009D2E2B"/>
    <w:rsid w:val="009E091B"/>
    <w:rsid w:val="009E3B15"/>
    <w:rsid w:val="009F7CC6"/>
    <w:rsid w:val="00A26431"/>
    <w:rsid w:val="00A3214A"/>
    <w:rsid w:val="00A36B52"/>
    <w:rsid w:val="00A47514"/>
    <w:rsid w:val="00A542C5"/>
    <w:rsid w:val="00A54951"/>
    <w:rsid w:val="00A60501"/>
    <w:rsid w:val="00A61B54"/>
    <w:rsid w:val="00A93F5D"/>
    <w:rsid w:val="00A96E2C"/>
    <w:rsid w:val="00AA0D31"/>
    <w:rsid w:val="00AB0B49"/>
    <w:rsid w:val="00AB1FFD"/>
    <w:rsid w:val="00AC7437"/>
    <w:rsid w:val="00AD019F"/>
    <w:rsid w:val="00AD3010"/>
    <w:rsid w:val="00AD64DA"/>
    <w:rsid w:val="00AD73E5"/>
    <w:rsid w:val="00AD7635"/>
    <w:rsid w:val="00AE01E7"/>
    <w:rsid w:val="00AF324F"/>
    <w:rsid w:val="00B061E9"/>
    <w:rsid w:val="00B06429"/>
    <w:rsid w:val="00B06AE1"/>
    <w:rsid w:val="00B1551D"/>
    <w:rsid w:val="00B16039"/>
    <w:rsid w:val="00B4572A"/>
    <w:rsid w:val="00B50A07"/>
    <w:rsid w:val="00B57D39"/>
    <w:rsid w:val="00B63C65"/>
    <w:rsid w:val="00B71A86"/>
    <w:rsid w:val="00B72A34"/>
    <w:rsid w:val="00B77D9C"/>
    <w:rsid w:val="00B84B7B"/>
    <w:rsid w:val="00B9536A"/>
    <w:rsid w:val="00BA2592"/>
    <w:rsid w:val="00BA4A0E"/>
    <w:rsid w:val="00BC4259"/>
    <w:rsid w:val="00BC6322"/>
    <w:rsid w:val="00BD7449"/>
    <w:rsid w:val="00BE5E2B"/>
    <w:rsid w:val="00BE7317"/>
    <w:rsid w:val="00BE77A7"/>
    <w:rsid w:val="00BF0D70"/>
    <w:rsid w:val="00C06D62"/>
    <w:rsid w:val="00C07939"/>
    <w:rsid w:val="00C12627"/>
    <w:rsid w:val="00C443B4"/>
    <w:rsid w:val="00C44E4F"/>
    <w:rsid w:val="00C638CE"/>
    <w:rsid w:val="00C71003"/>
    <w:rsid w:val="00C723F5"/>
    <w:rsid w:val="00C80320"/>
    <w:rsid w:val="00C81F74"/>
    <w:rsid w:val="00C86B0D"/>
    <w:rsid w:val="00C9033C"/>
    <w:rsid w:val="00C90E39"/>
    <w:rsid w:val="00C9511D"/>
    <w:rsid w:val="00C97F4F"/>
    <w:rsid w:val="00CA1265"/>
    <w:rsid w:val="00CA2877"/>
    <w:rsid w:val="00CA7A4D"/>
    <w:rsid w:val="00CB24C1"/>
    <w:rsid w:val="00CB70E5"/>
    <w:rsid w:val="00CC29DF"/>
    <w:rsid w:val="00CC69BF"/>
    <w:rsid w:val="00CE2CF1"/>
    <w:rsid w:val="00CE32A2"/>
    <w:rsid w:val="00CE3A67"/>
    <w:rsid w:val="00CF49D1"/>
    <w:rsid w:val="00CF7E34"/>
    <w:rsid w:val="00D03B64"/>
    <w:rsid w:val="00D05954"/>
    <w:rsid w:val="00D305DB"/>
    <w:rsid w:val="00D31DD0"/>
    <w:rsid w:val="00D33FB2"/>
    <w:rsid w:val="00D43F8C"/>
    <w:rsid w:val="00D55FA8"/>
    <w:rsid w:val="00D56654"/>
    <w:rsid w:val="00D62948"/>
    <w:rsid w:val="00D63B55"/>
    <w:rsid w:val="00D64646"/>
    <w:rsid w:val="00D722B8"/>
    <w:rsid w:val="00D8409F"/>
    <w:rsid w:val="00D8499E"/>
    <w:rsid w:val="00D911BF"/>
    <w:rsid w:val="00D95240"/>
    <w:rsid w:val="00DC09A1"/>
    <w:rsid w:val="00DC2D71"/>
    <w:rsid w:val="00DE42FC"/>
    <w:rsid w:val="00E01A60"/>
    <w:rsid w:val="00E1542D"/>
    <w:rsid w:val="00E173F0"/>
    <w:rsid w:val="00E20E99"/>
    <w:rsid w:val="00E45125"/>
    <w:rsid w:val="00E465B9"/>
    <w:rsid w:val="00E62A41"/>
    <w:rsid w:val="00E70FAC"/>
    <w:rsid w:val="00E71165"/>
    <w:rsid w:val="00E83AF0"/>
    <w:rsid w:val="00E84DE6"/>
    <w:rsid w:val="00E870F3"/>
    <w:rsid w:val="00EA17F1"/>
    <w:rsid w:val="00EB155B"/>
    <w:rsid w:val="00EC0824"/>
    <w:rsid w:val="00EC4E58"/>
    <w:rsid w:val="00ED09E0"/>
    <w:rsid w:val="00EF0873"/>
    <w:rsid w:val="00F0179C"/>
    <w:rsid w:val="00F154CC"/>
    <w:rsid w:val="00F15E36"/>
    <w:rsid w:val="00F17BE5"/>
    <w:rsid w:val="00F241EA"/>
    <w:rsid w:val="00F25634"/>
    <w:rsid w:val="00F45E86"/>
    <w:rsid w:val="00F4705F"/>
    <w:rsid w:val="00F52E26"/>
    <w:rsid w:val="00F54B45"/>
    <w:rsid w:val="00F55064"/>
    <w:rsid w:val="00F730D7"/>
    <w:rsid w:val="00F73908"/>
    <w:rsid w:val="00F840EE"/>
    <w:rsid w:val="00FB5218"/>
    <w:rsid w:val="00FB7BF8"/>
    <w:rsid w:val="00FC0CFD"/>
    <w:rsid w:val="00FC5D6C"/>
    <w:rsid w:val="00FC7E44"/>
    <w:rsid w:val="00FE201B"/>
    <w:rsid w:val="00FF5F9B"/>
    <w:rsid w:val="00FF6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1AB1"/>
  <w15:chartTrackingRefBased/>
  <w15:docId w15:val="{348AECA0-CF89-934A-BA0A-A48A3117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2C5"/>
    <w:pPr>
      <w:widowControl w:val="0"/>
      <w:autoSpaceDE w:val="0"/>
      <w:autoSpaceDN w:val="0"/>
    </w:pPr>
    <w:rPr>
      <w:rFonts w:ascii="Roboto" w:eastAsia="Roboto" w:hAnsi="Roboto" w:cs="Roboto"/>
      <w:sz w:val="22"/>
      <w:szCs w:val="22"/>
      <w:lang w:val="pl-PL" w:eastAsia="pl-PL" w:bidi="pl-PL"/>
    </w:rPr>
  </w:style>
  <w:style w:type="paragraph" w:styleId="Heading1">
    <w:name w:val="heading 1"/>
    <w:basedOn w:val="Normal"/>
    <w:next w:val="Normal"/>
    <w:link w:val="Heading1Char"/>
    <w:uiPriority w:val="9"/>
    <w:qFormat/>
    <w:rsid w:val="00A542C5"/>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CF7E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F7E3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2C5"/>
    <w:rPr>
      <w:rFonts w:ascii="Calibri" w:eastAsiaTheme="majorEastAsia" w:hAnsi="Calibri" w:cstheme="majorBidi"/>
      <w:b/>
      <w:bCs/>
      <w:color w:val="800000"/>
      <w:sz w:val="32"/>
      <w:szCs w:val="32"/>
      <w:lang w:val="hr-HR"/>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A542C5"/>
  </w:style>
  <w:style w:type="paragraph" w:styleId="Header">
    <w:name w:val="header"/>
    <w:basedOn w:val="Normal"/>
    <w:link w:val="HeaderChar"/>
    <w:uiPriority w:val="99"/>
    <w:unhideWhenUsed/>
    <w:rsid w:val="00A542C5"/>
    <w:pPr>
      <w:tabs>
        <w:tab w:val="center" w:pos="4536"/>
        <w:tab w:val="right" w:pos="9072"/>
      </w:tabs>
    </w:pPr>
  </w:style>
  <w:style w:type="character" w:customStyle="1" w:styleId="HeaderChar">
    <w:name w:val="Header Char"/>
    <w:basedOn w:val="DefaultParagraphFont"/>
    <w:link w:val="Header"/>
    <w:uiPriority w:val="99"/>
    <w:rsid w:val="00A542C5"/>
    <w:rPr>
      <w:rFonts w:ascii="Roboto" w:eastAsia="Roboto" w:hAnsi="Roboto" w:cs="Roboto"/>
      <w:sz w:val="22"/>
      <w:szCs w:val="22"/>
      <w:lang w:val="pl-PL" w:eastAsia="pl-PL" w:bidi="pl-PL"/>
    </w:rPr>
  </w:style>
  <w:style w:type="paragraph" w:styleId="Footer">
    <w:name w:val="footer"/>
    <w:basedOn w:val="Normal"/>
    <w:link w:val="FooterChar"/>
    <w:uiPriority w:val="99"/>
    <w:unhideWhenUsed/>
    <w:rsid w:val="00A542C5"/>
    <w:pPr>
      <w:tabs>
        <w:tab w:val="center" w:pos="4536"/>
        <w:tab w:val="right" w:pos="9072"/>
      </w:tabs>
    </w:pPr>
  </w:style>
  <w:style w:type="character" w:customStyle="1" w:styleId="FooterChar">
    <w:name w:val="Footer Char"/>
    <w:basedOn w:val="DefaultParagraphFont"/>
    <w:link w:val="Footer"/>
    <w:uiPriority w:val="99"/>
    <w:rsid w:val="00A542C5"/>
    <w:rPr>
      <w:rFonts w:ascii="Roboto" w:eastAsia="Roboto" w:hAnsi="Roboto" w:cs="Roboto"/>
      <w:sz w:val="22"/>
      <w:szCs w:val="22"/>
      <w:lang w:val="pl-PL" w:eastAsia="pl-PL" w:bidi="pl-PL"/>
    </w:rPr>
  </w:style>
  <w:style w:type="table" w:styleId="TableGrid">
    <w:name w:val="Table Grid"/>
    <w:basedOn w:val="TableNormal"/>
    <w:uiPriority w:val="39"/>
    <w:rsid w:val="00A542C5"/>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42C5"/>
  </w:style>
  <w:style w:type="character" w:styleId="Hyperlink">
    <w:name w:val="Hyperlink"/>
    <w:basedOn w:val="DefaultParagraphFont"/>
    <w:uiPriority w:val="99"/>
    <w:unhideWhenUsed/>
    <w:rsid w:val="00A542C5"/>
    <w:rPr>
      <w:color w:val="0563C1" w:themeColor="hyperlink"/>
      <w:u w:val="single"/>
    </w:rPr>
  </w:style>
  <w:style w:type="paragraph" w:styleId="TOCHeading">
    <w:name w:val="TOC Heading"/>
    <w:basedOn w:val="Heading1"/>
    <w:next w:val="Normal"/>
    <w:uiPriority w:val="39"/>
    <w:unhideWhenUsed/>
    <w:qFormat/>
    <w:rsid w:val="00A542C5"/>
    <w:pPr>
      <w:jc w:val="left"/>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A542C5"/>
    <w:pPr>
      <w:spacing w:before="120"/>
    </w:pPr>
    <w:rPr>
      <w:rFonts w:asciiTheme="minorHAnsi" w:hAnsiTheme="minorHAnsi"/>
      <w:b/>
      <w:bCs/>
      <w:i/>
      <w:iCs/>
      <w:sz w:val="24"/>
      <w:szCs w:val="24"/>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A542C5"/>
    <w:rPr>
      <w:rFonts w:ascii="Roboto" w:eastAsia="Roboto" w:hAnsi="Roboto" w:cs="Roboto"/>
      <w:sz w:val="22"/>
      <w:szCs w:val="22"/>
      <w:lang w:val="pl-PL" w:eastAsia="pl-PL" w:bidi="pl-PL"/>
    </w:rPr>
  </w:style>
  <w:style w:type="paragraph" w:styleId="BalloonText">
    <w:name w:val="Balloon Text"/>
    <w:basedOn w:val="Normal"/>
    <w:link w:val="BalloonTextChar"/>
    <w:uiPriority w:val="99"/>
    <w:semiHidden/>
    <w:unhideWhenUsed/>
    <w:rsid w:val="006B783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839"/>
    <w:rPr>
      <w:rFonts w:ascii="Times New Roman" w:eastAsia="Roboto" w:hAnsi="Times New Roman" w:cs="Times New Roman"/>
      <w:sz w:val="18"/>
      <w:szCs w:val="18"/>
      <w:lang w:val="pl-PL" w:eastAsia="pl-PL" w:bidi="pl-PL"/>
    </w:rPr>
  </w:style>
  <w:style w:type="paragraph" w:styleId="FootnoteText">
    <w:name w:val="footnote text"/>
    <w:basedOn w:val="Normal"/>
    <w:link w:val="FootnoteTextChar"/>
    <w:uiPriority w:val="99"/>
    <w:semiHidden/>
    <w:unhideWhenUsed/>
    <w:rsid w:val="0072460A"/>
    <w:rPr>
      <w:sz w:val="20"/>
      <w:szCs w:val="20"/>
    </w:rPr>
  </w:style>
  <w:style w:type="character" w:customStyle="1" w:styleId="FootnoteTextChar">
    <w:name w:val="Footnote Text Char"/>
    <w:basedOn w:val="DefaultParagraphFont"/>
    <w:link w:val="FootnoteText"/>
    <w:uiPriority w:val="99"/>
    <w:semiHidden/>
    <w:rsid w:val="0072460A"/>
    <w:rPr>
      <w:rFonts w:ascii="Roboto" w:eastAsia="Roboto" w:hAnsi="Roboto" w:cs="Roboto"/>
      <w:sz w:val="20"/>
      <w:szCs w:val="20"/>
      <w:lang w:val="pl-PL" w:eastAsia="pl-PL" w:bidi="pl-PL"/>
    </w:rPr>
  </w:style>
  <w:style w:type="character" w:styleId="FootnoteReference">
    <w:name w:val="footnote reference"/>
    <w:basedOn w:val="DefaultParagraphFont"/>
    <w:uiPriority w:val="99"/>
    <w:semiHidden/>
    <w:unhideWhenUsed/>
    <w:rsid w:val="0072460A"/>
    <w:rPr>
      <w:vertAlign w:val="superscript"/>
    </w:rPr>
  </w:style>
  <w:style w:type="character" w:styleId="UnresolvedMention">
    <w:name w:val="Unresolved Mention"/>
    <w:basedOn w:val="DefaultParagraphFont"/>
    <w:uiPriority w:val="99"/>
    <w:semiHidden/>
    <w:unhideWhenUsed/>
    <w:rsid w:val="002F4C45"/>
    <w:rPr>
      <w:color w:val="605E5C"/>
      <w:shd w:val="clear" w:color="auto" w:fill="E1DFDD"/>
    </w:rPr>
  </w:style>
  <w:style w:type="character" w:customStyle="1" w:styleId="Heading2Char">
    <w:name w:val="Heading 2 Char"/>
    <w:basedOn w:val="DefaultParagraphFont"/>
    <w:link w:val="Heading2"/>
    <w:uiPriority w:val="9"/>
    <w:rsid w:val="00CF7E34"/>
    <w:rPr>
      <w:rFonts w:asciiTheme="majorHAnsi" w:eastAsiaTheme="majorEastAsia" w:hAnsiTheme="majorHAnsi" w:cstheme="majorBidi"/>
      <w:color w:val="2F5496" w:themeColor="accent1" w:themeShade="BF"/>
      <w:sz w:val="26"/>
      <w:szCs w:val="26"/>
      <w:lang w:val="pl-PL" w:eastAsia="pl-PL" w:bidi="pl-PL"/>
    </w:rPr>
  </w:style>
  <w:style w:type="character" w:customStyle="1" w:styleId="Heading3Char">
    <w:name w:val="Heading 3 Char"/>
    <w:basedOn w:val="DefaultParagraphFont"/>
    <w:link w:val="Heading3"/>
    <w:uiPriority w:val="9"/>
    <w:rsid w:val="00CF7E34"/>
    <w:rPr>
      <w:rFonts w:asciiTheme="majorHAnsi" w:eastAsiaTheme="majorEastAsia" w:hAnsiTheme="majorHAnsi" w:cstheme="majorBidi"/>
      <w:color w:val="1F3763" w:themeColor="accent1" w:themeShade="7F"/>
      <w:lang w:val="pl-PL" w:eastAsia="pl-PL" w:bidi="pl-PL"/>
    </w:rPr>
  </w:style>
  <w:style w:type="paragraph" w:styleId="TOC2">
    <w:name w:val="toc 2"/>
    <w:basedOn w:val="Normal"/>
    <w:next w:val="Normal"/>
    <w:autoRedefine/>
    <w:uiPriority w:val="39"/>
    <w:unhideWhenUsed/>
    <w:rsid w:val="00CE32A2"/>
    <w:pPr>
      <w:tabs>
        <w:tab w:val="left" w:pos="960"/>
        <w:tab w:val="right" w:leader="dot" w:pos="10086"/>
      </w:tabs>
      <w:spacing w:after="100"/>
      <w:ind w:left="220"/>
    </w:pPr>
    <w:rPr>
      <w:rFonts w:ascii="Arial" w:hAnsi="Arial" w:cs="Arial"/>
      <w:noProof/>
      <w:lang w:val="hr-HR"/>
    </w:rPr>
  </w:style>
  <w:style w:type="paragraph" w:styleId="TOC3">
    <w:name w:val="toc 3"/>
    <w:basedOn w:val="Normal"/>
    <w:next w:val="Normal"/>
    <w:autoRedefine/>
    <w:uiPriority w:val="39"/>
    <w:unhideWhenUsed/>
    <w:rsid w:val="00CF7E34"/>
    <w:pPr>
      <w:spacing w:after="100"/>
      <w:ind w:left="440"/>
    </w:pPr>
  </w:style>
  <w:style w:type="character" w:styleId="FollowedHyperlink">
    <w:name w:val="FollowedHyperlink"/>
    <w:basedOn w:val="DefaultParagraphFont"/>
    <w:uiPriority w:val="99"/>
    <w:semiHidden/>
    <w:unhideWhenUsed/>
    <w:rsid w:val="00A54951"/>
    <w:rPr>
      <w:color w:val="954F72" w:themeColor="followedHyperlink"/>
      <w:u w:val="single"/>
    </w:rPr>
  </w:style>
  <w:style w:type="paragraph" w:styleId="BodyText">
    <w:name w:val="Body Text"/>
    <w:basedOn w:val="Normal"/>
    <w:link w:val="BodyTextChar"/>
    <w:rsid w:val="006B12F2"/>
    <w:pPr>
      <w:widowControl/>
      <w:suppressAutoHyphens/>
      <w:autoSpaceDE/>
      <w:autoSpaceDN/>
      <w:spacing w:after="140" w:line="276" w:lineRule="auto"/>
    </w:pPr>
    <w:rPr>
      <w:rFonts w:ascii="Liberation Serif" w:eastAsia="SimSun" w:hAnsi="Liberation Serif" w:cs="Lucida Sans"/>
      <w:kern w:val="2"/>
      <w:sz w:val="24"/>
      <w:szCs w:val="24"/>
      <w:lang w:val="en-US" w:eastAsia="zh-CN" w:bidi="hi-IN"/>
    </w:rPr>
  </w:style>
  <w:style w:type="character" w:customStyle="1" w:styleId="BodyTextChar">
    <w:name w:val="Body Text Char"/>
    <w:basedOn w:val="DefaultParagraphFont"/>
    <w:link w:val="BodyText"/>
    <w:rsid w:val="006B12F2"/>
    <w:rPr>
      <w:rFonts w:ascii="Liberation Serif" w:eastAsia="SimSun" w:hAnsi="Liberation Serif" w:cs="Lucida Sans"/>
      <w:kern w:val="2"/>
      <w:lang w:eastAsia="zh-CN" w:bidi="hi-IN"/>
    </w:rPr>
  </w:style>
  <w:style w:type="paragraph" w:styleId="Caption">
    <w:name w:val="caption"/>
    <w:basedOn w:val="Normal"/>
    <w:qFormat/>
    <w:rsid w:val="006B12F2"/>
    <w:pPr>
      <w:widowControl/>
      <w:suppressLineNumbers/>
      <w:suppressAutoHyphens/>
      <w:autoSpaceDE/>
      <w:autoSpaceDN/>
      <w:spacing w:before="120" w:after="120"/>
    </w:pPr>
    <w:rPr>
      <w:rFonts w:ascii="Liberation Serif" w:eastAsia="SimSun" w:hAnsi="Liberation Serif" w:cs="Lucida Sans"/>
      <w:i/>
      <w:iCs/>
      <w:kern w:val="2"/>
      <w:sz w:val="24"/>
      <w:szCs w:val="24"/>
      <w:lang w:val="en-US" w:eastAsia="zh-CN" w:bidi="hi-IN"/>
    </w:rPr>
  </w:style>
  <w:style w:type="paragraph" w:customStyle="1" w:styleId="TableContents">
    <w:name w:val="Table Contents"/>
    <w:basedOn w:val="Normal"/>
    <w:qFormat/>
    <w:rsid w:val="006B12F2"/>
    <w:pPr>
      <w:suppressLineNumbers/>
      <w:suppressAutoHyphens/>
      <w:autoSpaceDE/>
      <w:autoSpaceDN/>
    </w:pPr>
    <w:rPr>
      <w:rFonts w:ascii="Liberation Serif" w:eastAsia="SimSun" w:hAnsi="Liberation Serif" w:cs="Lucida Sans"/>
      <w:kern w:val="2"/>
      <w:sz w:val="24"/>
      <w:szCs w:val="24"/>
      <w:lang w:val="en-US" w:eastAsia="zh-CN" w:bidi="hi-IN"/>
    </w:rPr>
  </w:style>
  <w:style w:type="paragraph" w:styleId="NormalWeb">
    <w:name w:val="Normal (Web)"/>
    <w:basedOn w:val="Normal"/>
    <w:uiPriority w:val="99"/>
    <w:semiHidden/>
    <w:unhideWhenUsed/>
    <w:rsid w:val="00C07939"/>
    <w:pPr>
      <w:widowControl/>
      <w:autoSpaceDE/>
      <w:autoSpaceDN/>
      <w:spacing w:before="100" w:beforeAutospacing="1" w:after="100" w:afterAutospacing="1"/>
    </w:pPr>
    <w:rPr>
      <w:rFonts w:ascii="Times New Roman" w:eastAsia="Times New Roman" w:hAnsi="Times New Roman" w:cs="Times New Roman"/>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m.nikcevic@eprd.pl" TargetMode="External"/><Relationship Id="rId1" Type="http://schemas.openxmlformats.org/officeDocument/2006/relationships/hyperlink" Target="http://www.ikces.me"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1C89D-80D6-2842-A46B-8241FB02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2069</Words>
  <Characters>11797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Boris Curkovic</cp:lastModifiedBy>
  <cp:revision>2</cp:revision>
  <cp:lastPrinted>2020-09-26T22:48:00Z</cp:lastPrinted>
  <dcterms:created xsi:type="dcterms:W3CDTF">2020-11-17T12:53:00Z</dcterms:created>
  <dcterms:modified xsi:type="dcterms:W3CDTF">2020-11-17T12:53:00Z</dcterms:modified>
</cp:coreProperties>
</file>